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120"/>
        <w:jc w:val="both"/>
        <w:rPr/>
      </w:pPr>
      <w:r>
        <w:rPr>
          <w:b/>
          <w:caps/>
        </w:rPr>
        <w:t>4.</w:t>
        <w:tab/>
        <w:t xml:space="preserve">Rider </w:t>
      </w:r>
      <w:r>
        <w:rPr>
          <w:b/>
          <w:caps/>
          <w:u w:val="single"/>
        </w:rPr>
        <w:t>AGENCY</w:t>
      </w:r>
    </w:p>
    <w:p>
      <w:pPr>
        <w:pStyle w:val="Normal"/>
        <w:jc w:val="both"/>
        <w:rPr/>
      </w:pPr>
      <w:r>
        <w:rPr/>
        <w:t xml:space="preserve">If a Master under negotiation with a counterparty, which counterparty is, determined by due diligence or by the counterparty’s disclosure to be, acting as agent for one or more disclosed or undisclosed principals, then use the following guidelines to add/negotiate into the Master provisions protecting the credit position of EPMI against Party B and the principals.  The following provisions are drafted with reference to the most common situation—a Service Company acting on behalf of one or more Operating Utilities under a General Services Agreement and would need to be adapted to fit other circumstances: </w:t>
      </w:r>
    </w:p>
    <w:p>
      <w:pPr>
        <w:pStyle w:val="Normal"/>
        <w:jc w:val="both"/>
        <w:rPr/>
      </w:pPr>
      <w:r>
        <w:rPr/>
      </w:r>
    </w:p>
    <w:p>
      <w:pPr>
        <w:pStyle w:val="BodyText"/>
        <w:numPr>
          <w:ilvl w:val="0"/>
          <w:numId w:val="1"/>
        </w:numPr>
        <w:jc w:val="both"/>
        <w:rPr/>
      </w:pPr>
      <w:r>
        <w:rPr/>
        <w:t>On the first page of the cover sheet, the Party B should be clearly identified as authorized agent acting for and on behalf of the named principal(s) (the “Operating Utilities”) pursuant to an identified agreement establishing such agency. Also, revise the defined term “Counterparty” or “Party B” as follows:  “Counterparty” or “Party B” or “Service Company”.  [Outside counsel has suggested that, if possible, a reference or schedule be included that identifies each Operating Utility’s pro rata interest in goods and services purchased on behalf of the principals under the Master Agreement.  This specificity will generally not be acceptable to such parties.]</w:t>
      </w:r>
    </w:p>
    <w:p>
      <w:pPr>
        <w:pStyle w:val="BodyText"/>
        <w:jc w:val="both"/>
        <w:rPr/>
      </w:pPr>
      <w:r>
        <w:rPr/>
        <w:t xml:space="preserve"> </w:t>
      </w:r>
      <w:r>
        <w:rPr/>
        <w:t xml:space="preserve">(example: Ameren Energy, Inc., as authorized agent acting for and on behalf of Union Electric Company and Central Illinois Public Service Company (the “Operating Utilities”) pursuant to the General Services Agreement and Agency Agreement, dated ______, by and between Ameren Energy, Inc., Union Electric Company and Central Illinois Public Service Company (the “Agency Agreement”).”  </w:t>
      </w:r>
    </w:p>
    <w:p>
      <w:pPr>
        <w:pStyle w:val="Normal"/>
        <w:jc w:val="both"/>
        <w:rPr/>
      </w:pPr>
      <w:r>
        <w:rPr/>
      </w:r>
    </w:p>
    <w:p>
      <w:pPr>
        <w:pStyle w:val="Normal"/>
        <w:jc w:val="both"/>
        <w:rPr>
          <w:i/>
          <w:i/>
        </w:rPr>
      </w:pPr>
      <w:r>
        <w:rPr>
          <w:i/>
        </w:rPr>
        <w:t xml:space="preserve">and </w:t>
      </w:r>
    </w:p>
    <w:p>
      <w:pPr>
        <w:pStyle w:val="BodyText"/>
        <w:jc w:val="both"/>
        <w:rPr>
          <w:i/>
          <w:i/>
        </w:rPr>
      </w:pPr>
      <w:r>
        <w:rPr>
          <w:i/>
        </w:rPr>
      </w:r>
    </w:p>
    <w:p>
      <w:pPr>
        <w:pStyle w:val="BodyText"/>
        <w:numPr>
          <w:ilvl w:val="0"/>
          <w:numId w:val="1"/>
        </w:numPr>
        <w:jc w:val="both"/>
        <w:rPr/>
      </w:pPr>
      <w:r>
        <w:rPr/>
        <w:t>ADD THE FOLLOWING AS A LETTERED ITEM IN THE COVER SHEET’S “OTHER CHANGES” SECTION, UNDER “Part 1, General Terms And Conditions”, RELETTERING THE REMAINING NUMBERED ITEMS</w:t>
      </w:r>
    </w:p>
    <w:p>
      <w:pPr>
        <w:pStyle w:val="BodyText"/>
        <w:numPr>
          <w:ilvl w:val="0"/>
          <w:numId w:val="2"/>
        </w:numPr>
        <w:jc w:val="both"/>
        <w:rPr/>
      </w:pPr>
      <w:r>
        <w:rPr>
          <w:b/>
        </w:rPr>
        <w:t>Counterparty B’s Obligations Where Counterparty B acts as Agent</w:t>
      </w:r>
      <w:r>
        <w:rPr/>
        <w:t xml:space="preserve">.  The following provision is added to the first sentence of Section 3.1 following the phrase:   “. . . and Buyer shall pay Seller the Contract Price”:  </w:t>
      </w:r>
    </w:p>
    <w:p>
      <w:pPr>
        <w:pStyle w:val="BodyText"/>
        <w:jc w:val="both"/>
        <w:rPr/>
      </w:pPr>
      <w:r>
        <w:rPr/>
        <w:t>“</w:t>
      </w:r>
      <w:r>
        <w:rPr/>
        <w:t>regardless of whether the applicable state public utility commission[s] allow for the amounts paid by the Operating Utilities to the Service Company pursuant to the [Agency Agreement] to be recovered in customer rates.”</w:t>
      </w:r>
    </w:p>
    <w:p>
      <w:pPr>
        <w:pStyle w:val="BodyText"/>
        <w:jc w:val="both"/>
        <w:rPr>
          <w:i/>
          <w:i/>
        </w:rPr>
      </w:pPr>
      <w:r>
        <w:rPr>
          <w:i/>
        </w:rPr>
        <w:t xml:space="preserve">and </w:t>
      </w:r>
    </w:p>
    <w:p>
      <w:pPr>
        <w:pStyle w:val="BodyText"/>
        <w:numPr>
          <w:ilvl w:val="0"/>
          <w:numId w:val="1"/>
        </w:numPr>
        <w:jc w:val="both"/>
        <w:rPr/>
      </w:pPr>
      <w:r>
        <w:rPr/>
        <w:t xml:space="preserve">ADD THE FOLLOWING AS A LETTERED ITEM IN THE COVER SHEET’S “OTHER CHANGES” SECTION, UNDER “Part 1, General Terms And Conditions,” RELETTERING THE REMAINING NUMBERED ITEMS </w:t>
      </w:r>
    </w:p>
    <w:p>
      <w:pPr>
        <w:pStyle w:val="BodyText"/>
        <w:jc w:val="both"/>
        <w:rPr/>
      </w:pPr>
      <w:r>
        <w:rPr/>
        <w:t xml:space="preserve">(i)  </w:t>
      </w:r>
      <w:r>
        <w:rPr>
          <w:b/>
        </w:rPr>
        <w:t>Representations and Warranties Relating to Agency.</w:t>
      </w:r>
      <w:r>
        <w:rPr/>
        <w:t xml:space="preserve">  The following is added to the end of Section 10.2:  </w:t>
      </w:r>
    </w:p>
    <w:p>
      <w:pPr>
        <w:pStyle w:val="BodyText"/>
        <w:jc w:val="both"/>
        <w:rPr/>
      </w:pPr>
      <w:r>
        <w:rPr/>
        <w:t>“</w:t>
      </w:r>
      <w:r>
        <w:rPr/>
        <w:t>Furthermore, Party B represents and warrants that: (a) each of the Operating Utilities is duly organized, validly existing, and in good standing under the applicable laws of the jurisdiction of its formation; (b) the execution, delivery, and performance of this Agreement are within the scope of its agency for the Operating Utilities pursuant to the Agency Agreement; (c) the Agency Agreement is in full force and effect and represents a valid and binding obligation of each of the Operating Utilities to accept and pay for the goods and services being obtained by the Service Company under the Agreement; (d) each of Operating Utilities has all regulatory authorizations necessary for each of them to legally perform its obligations under this Agreement and the Agency Agreement; (e) each of the Operating Utilities will be responsible for the obligations incurred under this Agreement on their behalf by the Service Company as their authorized agent; (f) there are no bankruptcy, insolvency, reorganization, receivership, or other arrangement proceedings pending or being contemplated by either of the Operating Utilities [or the Registered Holding Company] or to the Service Company's knowledge threatened against any of them; (g) there are no suits, proceedings, judgments, rulings, or orders by or before any court or any governmental authority that may materially adversely affect any of the Operating Utilities’ respective abilities to perform this Agreement or the Agency Agreement; and (h) Party B has obtained all necessary or appropriate consents, commitments, and undertakings from the Operating Companies to assure the foregoing representations and warranties. The Service Company hereby acknowledges that Party A has entered into the Agreement in reliance upon the representations set forth in this Section 10.2 and that Party A would not be willing to enter into any Transaction with the Service Company in the absence of these representations.”</w:t>
      </w:r>
    </w:p>
    <w:p>
      <w:pPr>
        <w:pStyle w:val="BodyText"/>
        <w:numPr>
          <w:ilvl w:val="0"/>
          <w:numId w:val="1"/>
        </w:numPr>
        <w:tabs>
          <w:tab w:val="clear" w:pos="720"/>
          <w:tab w:val="left" w:pos="360" w:leader="none"/>
        </w:tabs>
        <w:jc w:val="both"/>
        <w:rPr>
          <w:i/>
          <w:i/>
          <w:iCs/>
        </w:rPr>
      </w:pPr>
      <w:r>
        <w:rPr>
          <w:i/>
          <w:iCs/>
        </w:rPr>
        <w:t>If a rated parent company is in place as to all Operating Utilities and Party B, seek a parent company guaranty of  the obligations of Party B under the Master Agreement.</w:t>
      </w:r>
    </w:p>
    <w:p>
      <w:pPr>
        <w:pStyle w:val="BodyText"/>
        <w:numPr>
          <w:ilvl w:val="0"/>
          <w:numId w:val="1"/>
        </w:numPr>
        <w:tabs>
          <w:tab w:val="clear" w:pos="720"/>
          <w:tab w:val="left" w:pos="360" w:leader="none"/>
        </w:tabs>
        <w:jc w:val="both"/>
        <w:rPr/>
      </w:pPr>
      <w:r>
        <w:rPr/>
        <w:t>Attempt to obtain from each Operating Utility an executed Consent and Acknowledgment in the form shown as the attachment below.</w:t>
      </w:r>
    </w:p>
    <w:p>
      <w:pPr>
        <w:pStyle w:val="Normal"/>
        <w:jc w:val="both"/>
        <w:rPr/>
      </w:pPr>
      <w:r>
        <w:rPr>
          <w:b/>
        </w:rPr>
        <w:t xml:space="preserve">Attachment to EEI Master Power Purchase </w:t>
      </w:r>
      <w:r>
        <w:rPr>
          <w:rFonts w:eastAsia="Symbol" w:cs="Symbol" w:ascii="Symbol" w:hAnsi="Symbol"/>
          <w:b/>
        </w:rPr>
        <w:sym w:font="Symbol" w:char="f026"/>
      </w:r>
      <w:r>
        <w:rPr>
          <w:b/>
        </w:rPr>
        <w:t xml:space="preserve"> Sale Agreement:</w:t>
      </w:r>
    </w:p>
    <w:p>
      <w:pPr>
        <w:pStyle w:val="Normal"/>
        <w:jc w:val="both"/>
        <w:rPr>
          <w:b/>
        </w:rPr>
      </w:pPr>
      <w:r>
        <w:rPr>
          <w:b/>
        </w:rPr>
      </w:r>
    </w:p>
    <w:p>
      <w:pPr>
        <w:pStyle w:val="Normal"/>
        <w:jc w:val="both"/>
        <w:rPr/>
      </w:pPr>
      <w:r>
        <w:rPr/>
        <w:t>CONSENT AND ACKNOWLEDGMENT</w:t>
      </w:r>
    </w:p>
    <w:p>
      <w:pPr>
        <w:pStyle w:val="Normal"/>
        <w:jc w:val="both"/>
        <w:rPr/>
      </w:pPr>
      <w:r>
        <w:rPr/>
      </w:r>
    </w:p>
    <w:p>
      <w:pPr>
        <w:pStyle w:val="BodyText"/>
        <w:jc w:val="both"/>
        <w:rPr/>
      </w:pPr>
      <w:r>
        <w:rPr/>
        <w:tab/>
      </w:r>
      <w:r>
        <w:rPr>
          <w:i/>
        </w:rPr>
        <w:t>Whereas</w:t>
      </w:r>
      <w:r>
        <w:rPr/>
        <w:t xml:space="preserve">, [Service Company] is authorized [by order of the Securities and Exchange Commission dated [                          ]] to provide a variety of support services to [Names of Operating Utilities] (the “Operating Utilities”) and has entered into a [General Services Agreement], dated as of [                     ] (the “Agency Agreement”), with the Operating Utilities pursuant to which it is authorized to provide various services to the Operating Utilities, including, but not limited to, services relating to the procurement of power; </w:t>
      </w:r>
    </w:p>
    <w:p>
      <w:pPr>
        <w:pStyle w:val="BodyTextIndent"/>
        <w:rPr/>
      </w:pPr>
      <w:r>
        <w:rPr>
          <w:sz w:val="20"/>
        </w:rPr>
        <w:t xml:space="preserve">Now, therefore, each of the Operating Utilities (a) acknowledges that the Service Company is authorized, following execution of an EEI format Master Power Purchase </w:t>
      </w:r>
      <w:r>
        <w:rPr>
          <w:rFonts w:eastAsia="Symbol" w:cs="Symbol" w:ascii="Symbol" w:hAnsi="Symbol"/>
          <w:sz w:val="20"/>
        </w:rPr>
        <w:sym w:font="Symbol" w:char="f026"/>
      </w:r>
      <w:r>
        <w:rPr>
          <w:sz w:val="20"/>
        </w:rPr>
        <w:t xml:space="preserve"> Sale Agreement with such modifications as are agreed between Service Company and EPMI (the “Master Agreement”) and such other pertinent agreements referenced among the “Agreements” in the cover sheet of such Master Agreement, to enter into transactions with Enron Power Marketing, Inc. (“EPMI”) relating to the purchase and sale of various power products (each such transaction referred to herein as a “Transaction”) pursuant to a single agreement or a series of agreements as authorized agent for and on behalf and for the benefit of each of the Operating Utilities signatory hereto in accordance with the Agency Agreement; (b) consents thereto and to all of the terms and conditions of each Transaction effected by the Service Company; (c) acknowledges that it is responsible for all obligations incurred thereunder by the Service Company as the Operating Utilities’ agent under the Master Agreement; and (d) represents and warrants that it and the Service Company each have full power and authority, including all required regulatory authorizations, necessary to make and enter into each Transaction as the valid and binding agreement of each of them enforceable against them in accordance with its terms.</w:t>
      </w:r>
    </w:p>
    <w:p>
      <w:pPr>
        <w:pStyle w:val="BodyTextIndent"/>
        <w:rPr>
          <w:sz w:val="20"/>
        </w:rPr>
      </w:pPr>
      <w:r>
        <w:rPr>
          <w:sz w:val="20"/>
        </w:rPr>
      </w:r>
    </w:p>
    <w:p>
      <w:pPr>
        <w:pStyle w:val="BodyTextIndent"/>
        <w:rPr>
          <w:sz w:val="20"/>
        </w:rPr>
      </w:pPr>
      <w:r>
        <w:rPr>
          <w:sz w:val="20"/>
        </w:rPr>
        <w:t>Furthermore, each of the Operating Utilities hereby acknowledges that EPMI has entered or will enter into the Transactions in reliance upon the execution of this Consent and Acknowledgment by the Operating Utilities and that EPMI would not be willing to enter into any Transaction with the Service Company in the absence of this Consent and Acknowledgment.</w:t>
      </w:r>
    </w:p>
    <w:p>
      <w:pPr>
        <w:pStyle w:val="BodyTextIndent"/>
        <w:rPr>
          <w:sz w:val="20"/>
        </w:rPr>
      </w:pPr>
      <w:r>
        <w:rPr>
          <w:sz w:val="20"/>
        </w:rPr>
      </w:r>
    </w:p>
    <w:p>
      <w:pPr>
        <w:pStyle w:val="BodyTextIndent"/>
        <w:ind w:hanging="0" w:end="0"/>
        <w:rPr>
          <w:sz w:val="20"/>
        </w:rPr>
      </w:pPr>
      <w:r>
        <w:rPr>
          <w:sz w:val="20"/>
        </w:rPr>
        <w:t>OPERATING UTILITY</w:t>
      </w:r>
    </w:p>
    <w:p>
      <w:pPr>
        <w:pStyle w:val="BodyTextIndent"/>
        <w:ind w:hanging="0" w:end="0"/>
        <w:rPr>
          <w:sz w:val="20"/>
        </w:rPr>
      </w:pPr>
      <w:r>
        <w:rPr>
          <w:sz w:val="20"/>
        </w:rPr>
      </w:r>
    </w:p>
    <w:p>
      <w:pPr>
        <w:pStyle w:val="BodyTextIndent"/>
        <w:ind w:hanging="0" w:end="0"/>
        <w:rPr>
          <w:sz w:val="20"/>
        </w:rPr>
      </w:pPr>
      <w:r>
        <w:rPr>
          <w:sz w:val="20"/>
        </w:rPr>
        <w:t xml:space="preserve">By: </w:t>
      </w:r>
    </w:p>
    <w:p>
      <w:pPr>
        <w:pStyle w:val="BodyTextIndent"/>
        <w:ind w:hanging="0" w:end="0"/>
        <w:rPr>
          <w:sz w:val="20"/>
        </w:rPr>
      </w:pPr>
      <w:r>
        <w:rPr>
          <w:sz w:val="20"/>
        </w:rPr>
        <w:t>Name:</w:t>
      </w:r>
    </w:p>
    <w:p>
      <w:pPr>
        <w:pStyle w:val="BodyTextIndent"/>
        <w:ind w:hanging="0" w:end="0"/>
        <w:rPr>
          <w:sz w:val="20"/>
        </w:rPr>
      </w:pPr>
      <w:r>
        <w:rPr>
          <w:sz w:val="20"/>
        </w:rPr>
        <w:t>Its:</w:t>
      </w:r>
    </w:p>
    <w:p>
      <w:pPr>
        <w:pStyle w:val="BodyTextIndent"/>
        <w:ind w:hanging="0" w:end="0"/>
        <w:rPr>
          <w:sz w:val="20"/>
        </w:rPr>
      </w:pPr>
      <w:r>
        <w:rPr>
          <w:sz w:val="20"/>
        </w:rPr>
        <w:t>Date:</w:t>
      </w:r>
    </w:p>
    <w:p>
      <w:pPr>
        <w:pStyle w:val="BodyTextIndent"/>
        <w:ind w:hanging="0" w:end="0"/>
        <w:rPr>
          <w:sz w:val="20"/>
        </w:rPr>
      </w:pPr>
      <w:r>
        <w:rPr>
          <w:sz w:val="20"/>
        </w:rPr>
      </w:r>
    </w:p>
    <w:p>
      <w:pPr>
        <w:pStyle w:val="BodyTextIndent"/>
        <w:ind w:hanging="0" w:end="0"/>
        <w:rPr>
          <w:sz w:val="20"/>
        </w:rPr>
      </w:pPr>
      <w:r>
        <w:rPr>
          <w:sz w:val="20"/>
        </w:rPr>
        <w:t>OPERATING UTILITY</w:t>
      </w:r>
    </w:p>
    <w:p>
      <w:pPr>
        <w:pStyle w:val="BodyTextIndent"/>
        <w:ind w:hanging="0" w:end="0"/>
        <w:rPr>
          <w:sz w:val="20"/>
        </w:rPr>
      </w:pPr>
      <w:r>
        <w:rPr>
          <w:sz w:val="20"/>
        </w:rPr>
      </w:r>
    </w:p>
    <w:p>
      <w:pPr>
        <w:pStyle w:val="BodyTextIndent"/>
        <w:ind w:hanging="0" w:end="0"/>
        <w:rPr>
          <w:sz w:val="20"/>
        </w:rPr>
      </w:pPr>
      <w:r>
        <w:rPr>
          <w:sz w:val="20"/>
        </w:rPr>
        <w:t>By:</w:t>
      </w:r>
    </w:p>
    <w:p>
      <w:pPr>
        <w:pStyle w:val="BodyTextIndent"/>
        <w:ind w:hanging="0" w:end="0"/>
        <w:rPr>
          <w:sz w:val="20"/>
        </w:rPr>
      </w:pPr>
      <w:r>
        <w:rPr>
          <w:sz w:val="20"/>
        </w:rPr>
        <w:t>Name:</w:t>
      </w:r>
    </w:p>
    <w:p>
      <w:pPr>
        <w:pStyle w:val="BodyTextIndent"/>
        <w:ind w:hanging="0" w:end="0"/>
        <w:rPr>
          <w:sz w:val="20"/>
        </w:rPr>
      </w:pPr>
      <w:r>
        <w:rPr>
          <w:sz w:val="20"/>
        </w:rPr>
        <w:t>Its:</w:t>
      </w:r>
    </w:p>
    <w:p>
      <w:pPr>
        <w:pStyle w:val="BodyTextIndent"/>
        <w:ind w:hanging="0" w:end="0"/>
        <w:rPr>
          <w:sz w:val="20"/>
        </w:rPr>
      </w:pPr>
      <w:r>
        <w:rPr>
          <w:sz w:val="20"/>
        </w:rPr>
        <w:t>Date:</w:t>
      </w:r>
    </w:p>
    <w:p>
      <w:pPr>
        <w:pStyle w:val="Normal"/>
        <w:jc w:val="both"/>
        <w:rPr>
          <w:sz w:val="20"/>
        </w:rPr>
      </w:pPr>
      <w:r>
        <w:rPr>
          <w:sz w:val="20"/>
        </w:rPr>
      </w:r>
    </w:p>
    <w:p>
      <w:pPr>
        <w:pStyle w:val="BodyText"/>
        <w:jc w:val="both"/>
        <w:rPr>
          <w:i/>
          <w:i/>
        </w:rPr>
      </w:pPr>
      <w:r>
        <w:rPr>
          <w:i/>
        </w:rPr>
        <w:t>and</w:t>
      </w:r>
    </w:p>
    <w:p>
      <w:pPr>
        <w:pStyle w:val="BodyText"/>
        <w:numPr>
          <w:ilvl w:val="0"/>
          <w:numId w:val="1"/>
        </w:numPr>
        <w:jc w:val="both"/>
        <w:rPr/>
      </w:pPr>
      <w:r>
        <w:rPr/>
        <w:t xml:space="preserve">ADD THE FOLLOWING AS A LETTERED ITEM IN THE COVER SHEET’S “OTHER CHANGES” SECTION, UNDER “Part 1, General Terms And Conditions,”, RELETTERING THE REMAINING NUMBERED ITEMS </w:t>
      </w:r>
    </w:p>
    <w:p>
      <w:pPr>
        <w:pStyle w:val="BodyText"/>
        <w:jc w:val="both"/>
        <w:rPr/>
      </w:pPr>
      <w:r>
        <w:rPr/>
        <w:t xml:space="preserve">(e)  </w:t>
      </w:r>
      <w:r>
        <w:rPr>
          <w:b/>
        </w:rPr>
        <w:t>Subrogation Rights.</w:t>
      </w:r>
      <w:r>
        <w:rPr/>
        <w:t xml:space="preserve">   The following provision should be added as a new Section 5.8:</w:t>
      </w:r>
    </w:p>
    <w:p>
      <w:pPr>
        <w:pStyle w:val="Normal"/>
        <w:tabs>
          <w:tab w:val="clear" w:pos="720"/>
          <w:tab w:val="left" w:pos="0" w:leader="none"/>
          <w:tab w:val="left" w:pos="1440" w:leader="none"/>
        </w:tabs>
        <w:jc w:val="both"/>
        <w:rPr/>
      </w:pPr>
      <w:r>
        <w:rPr/>
        <w:t>5.8    “</w:t>
      </w:r>
      <w:r>
        <w:rPr>
          <w:u w:val="single"/>
        </w:rPr>
        <w:t>Subrogation</w:t>
      </w:r>
      <w:r>
        <w:rPr/>
        <w:t>.  In addition to all of the other remedies provided for herein, in the case of an Event of Default by Party B hereunder (a “Party B Event of Default”), Party A shall, without further notice, presentment, demand, or instrument, all of which are expressly waived, be and become immediately subrogated and succeed to any and all rights of Party B against any and all of the Operating Utilities with respect to this Agreement, including indemnification and any other rights against the Operating Utilities provided for under the Agency Agreement, and Party A shall thereupon be entitled to assert all such rights directly against the Operating Utilities for its own account.  Following a Party B Event of Default, Party B shall not independently assert any such rights under the Agreement against the Operating Utilities without the express prior written consent of Party A and shall cooperate fully with Party A in its exercise of said rights and remedies as granted and assigned to Party A in this Section 5.8, including, upon request of Party A; allowing Party A to bring an action against the Operating Utilities in Party B's name and with Party B's full cooperation therein, and (ii) executing instruments of assignment or other documents as Party A may reasonably request to give full force and effect to the rights and remedies provided in this Section 5.8.  The rights and remedies provided in this Section 5.8 are in addition to and cumulative of the other rights and remedies provided to Party A under the Agreement, and the exercise of one or more other such rights or remedies shall not prejudice or impair the concurrent or subsequent exercise of any other right or remedy.</w:t>
      </w:r>
    </w:p>
    <w:p>
      <w:pPr>
        <w:pStyle w:val="Normal"/>
        <w:rPr/>
      </w:pPr>
      <w:r>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FILENAME \p </w:instrText>
    </w:r>
    <w:r>
      <w:rPr/>
      <w:fldChar w:fldCharType="separate"/>
    </w:r>
    <w:r>
      <w:rPr/>
      <w:t>/mnt/main-storage/datasets/enron-docs/doc/Agency_Rider.doc</w:t>
    </w:r>
    <w: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1080"/>
        </w:tabs>
        <w:ind w:start="1080" w:hanging="720"/>
      </w:pPr>
      <w:r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2">
    <w:lvl w:ilvl="0">
      <w:start w:val="2"/>
      <w:numFmt w:val="lowerLetter"/>
      <w:lvlText w:val="(%1)"/>
      <w:lvlJc w:val="start"/>
      <w:pPr>
        <w:tabs>
          <w:tab w:val="num" w:pos="360"/>
        </w:tabs>
        <w:ind w:start="360" w:hanging="360"/>
      </w:pPr>
      <w:rPr>
        <w:sz w:val="20"/>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WW8Num2z0">
    <w:name w:val="WW8Num2z0"/>
    <w:qFormat/>
    <w:rPr>
      <w:sz w:val="20"/>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z w:val="2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firstLine="720" w:start="0" w:end="0"/>
      <w:jc w:val="both"/>
    </w:pPr>
    <w:rPr>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2000-12-04T16:05:00Z</dcterms:created>
  <dc:creator>leslie hansen</dc:creator>
  <dc:description/>
  <dc:language>en-CA</dc:language>
  <cp:lastModifiedBy>leslie hansen</cp:lastModifiedBy>
  <dcterms:modified xsi:type="dcterms:W3CDTF">2000-12-04T16:06:00Z</dcterms:modified>
  <cp:revision>2</cp:revision>
  <dc:subject/>
  <dc:title>4</dc:title>
</cp:coreProperties>
</file>