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Agriculture Group Distribution</w:t>
            </w:r>
          </w:p>
          <w:p>
            <w:pPr>
              <w:pStyle w:val="To"/>
              <w:rPr/>
            </w:pPr>
            <w:r>
              <w:rPr/>
            </w:r>
          </w:p>
          <w:p>
            <w:pPr>
              <w:pStyle w:val="To"/>
              <w:rPr/>
            </w:pPr>
            <w:r>
              <w:rPr/>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p>
            <w:pPr>
              <w:pStyle w:val="To"/>
              <w:rPr/>
            </w:pPr>
            <w:r>
              <w:rPr/>
            </w:r>
          </w:p>
          <w:p>
            <w:pPr>
              <w:pStyle w:val="To"/>
              <w:rPr/>
            </w:pPr>
            <w:r>
              <w:rPr/>
            </w:r>
          </w:p>
          <w:p>
            <w:pPr>
              <w:pStyle w:val="To"/>
              <w:rPr/>
            </w:pPr>
            <w:r>
              <w:rPr/>
              <w:t>Lance Schuler</w:t>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40" w:hRule="exact"/>
        </w:trPr>
        <w:tc>
          <w:tcPr>
            <w:tcW w:w="708" w:type="dxa"/>
            <w:tcBorders/>
          </w:tcPr>
          <w:p>
            <w:pPr>
              <w:pStyle w:val="Normal"/>
              <w:snapToGrid w:val="false"/>
              <w:ind w:start="-180" w:end="0"/>
              <w:jc w:val="end"/>
              <w:rPr>
                <w:sz w:val="16"/>
              </w:rPr>
            </w:pPr>
            <w:r>
              <w:rPr>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Bob Bruce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Agricultural Issues Relating to Recently Passed Legislation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January 16, 2001</w:t>
            </w:r>
          </w:p>
        </w:tc>
      </w:tr>
    </w:tbl>
    <w:p>
      <w:pPr>
        <w:pStyle w:val="Body"/>
        <w:jc w:val="both"/>
        <w:rPr>
          <w:sz w:val="22"/>
        </w:rPr>
      </w:pPr>
      <w:bookmarkStart w:id="1" w:name="StartOfMemo"/>
      <w:bookmarkEnd w:id="1"/>
      <w:r>
        <w:rPr>
          <w:sz w:val="22"/>
        </w:rPr>
        <w:tab/>
      </w:r>
    </w:p>
    <w:p>
      <w:pPr>
        <w:pStyle w:val="Body"/>
        <w:ind w:start="0" w:end="0"/>
        <w:jc w:val="both"/>
        <w:rPr>
          <w:sz w:val="22"/>
        </w:rPr>
      </w:pPr>
      <w:r>
        <w:rPr>
          <w:sz w:val="22"/>
        </w:rPr>
        <w:tab/>
      </w:r>
    </w:p>
    <w:p>
      <w:pPr>
        <w:pStyle w:val="Body"/>
        <w:ind w:firstLine="558" w:start="90" w:end="720"/>
        <w:jc w:val="both"/>
        <w:rPr>
          <w:sz w:val="22"/>
        </w:rPr>
      </w:pPr>
      <w:r>
        <w:rPr>
          <w:sz w:val="22"/>
        </w:rPr>
        <w:t>On December 21, 2000, President Clinton signed into law the Commodity Futures Modernization Act of 2000 (the “New Act”), which revises in a variety of ways the Commodity Exchange Act of 1974, the cornerstone of modern commodities regulation.  Additionally, the Commodity Futures Trading Commission (the “CFTC”) is expected to promulgate new administrative regulations to complement the New Act.  At this point, however, proposed new rules have not been published yet.</w:t>
      </w:r>
    </w:p>
    <w:p>
      <w:pPr>
        <w:pStyle w:val="Body"/>
        <w:ind w:firstLine="558" w:start="90" w:end="720"/>
        <w:jc w:val="both"/>
        <w:rPr>
          <w:sz w:val="22"/>
        </w:rPr>
      </w:pPr>
      <w:r>
        <w:rPr>
          <w:sz w:val="22"/>
        </w:rPr>
      </w:r>
    </w:p>
    <w:p>
      <w:pPr>
        <w:pStyle w:val="Body"/>
        <w:ind w:firstLine="558" w:start="90" w:end="720"/>
        <w:jc w:val="both"/>
        <w:rPr>
          <w:sz w:val="22"/>
        </w:rPr>
      </w:pPr>
      <w:r>
        <w:rPr>
          <w:sz w:val="22"/>
        </w:rPr>
        <w:t>So while the picture will not really be complete until we see what the new CFTC rules look like, I did want to briefly summarize a few agriculture-related issues concerning the new legislation and regulations.</w:t>
      </w:r>
    </w:p>
    <w:p>
      <w:pPr>
        <w:pStyle w:val="Body"/>
        <w:ind w:firstLine="558" w:start="90" w:end="720"/>
        <w:jc w:val="both"/>
        <w:rPr>
          <w:sz w:val="22"/>
        </w:rPr>
      </w:pPr>
      <w:r>
        <w:rPr>
          <w:sz w:val="22"/>
        </w:rPr>
      </w:r>
    </w:p>
    <w:p>
      <w:pPr>
        <w:pStyle w:val="Body"/>
        <w:numPr>
          <w:ilvl w:val="0"/>
          <w:numId w:val="2"/>
        </w:numPr>
        <w:tabs>
          <w:tab w:val="left" w:pos="0" w:leader="none"/>
        </w:tabs>
        <w:ind w:firstLine="720" w:start="0" w:end="720"/>
        <w:jc w:val="both"/>
        <w:rPr>
          <w:sz w:val="22"/>
        </w:rPr>
      </w:pPr>
      <w:r>
        <w:rPr>
          <w:b/>
          <w:bCs/>
          <w:sz w:val="22"/>
        </w:rPr>
        <w:t xml:space="preserve">Use of phrase “agricultural commodities” – </w:t>
      </w:r>
      <w:r>
        <w:rPr>
          <w:sz w:val="22"/>
        </w:rPr>
        <w:t xml:space="preserve">For the most part, the New Act deregulates (subject to certain parameters) transactions in commodities that are </w:t>
      </w:r>
      <w:r>
        <w:rPr>
          <w:sz w:val="22"/>
          <w:u w:val="single"/>
        </w:rPr>
        <w:t>not</w:t>
      </w:r>
      <w:r>
        <w:rPr>
          <w:sz w:val="22"/>
        </w:rPr>
        <w:t xml:space="preserve"> “agricultural commodities.”  Usually, Congress and the CFTC have been very explicit in referring to a particular list of meat and grain commodities when special restrictions are provided for.  Unfortunately, the New Act simply uses the phrase “agricultural commodities” without further elaboration.  This raises the question: are coffee, sugar and cocoa considered as “agricultural commodities” for purposes of the New Act?</w:t>
      </w:r>
    </w:p>
    <w:p>
      <w:pPr>
        <w:pStyle w:val="Body"/>
        <w:ind w:end="720"/>
        <w:jc w:val="both"/>
        <w:rPr>
          <w:sz w:val="22"/>
        </w:rPr>
      </w:pPr>
      <w:r>
        <w:rPr>
          <w:sz w:val="22"/>
        </w:rPr>
      </w:r>
    </w:p>
    <w:p>
      <w:pPr>
        <w:pStyle w:val="Body"/>
        <w:ind w:firstLine="558" w:start="90" w:end="720"/>
        <w:jc w:val="both"/>
        <w:rPr/>
      </w:pPr>
      <w:r>
        <w:rPr>
          <w:sz w:val="22"/>
        </w:rPr>
        <w:t xml:space="preserve">If the answer is “yes,” then coffee, sugar and cocoa </w:t>
      </w:r>
      <w:r>
        <w:rPr>
          <w:sz w:val="22"/>
          <w:u w:val="single"/>
        </w:rPr>
        <w:t>swaps</w:t>
      </w:r>
      <w:r>
        <w:rPr>
          <w:sz w:val="22"/>
        </w:rPr>
        <w:t xml:space="preserve"> can still be traded OTC with counterparties of adequate net worth, but </w:t>
      </w:r>
      <w:r>
        <w:rPr>
          <w:sz w:val="22"/>
          <w:u w:val="single"/>
        </w:rPr>
        <w:t>options</w:t>
      </w:r>
      <w:r>
        <w:rPr>
          <w:sz w:val="22"/>
        </w:rPr>
        <w:t xml:space="preserve"> could not be traded OTC unless one of the parties was a merchant physically handling the commodity.  This was the status of the “softs” commodities prior to the new law.  </w:t>
      </w:r>
    </w:p>
    <w:p>
      <w:pPr>
        <w:pStyle w:val="Body"/>
        <w:ind w:firstLine="558" w:start="90" w:end="720"/>
        <w:jc w:val="both"/>
        <w:rPr>
          <w:sz w:val="22"/>
        </w:rPr>
      </w:pPr>
      <w:r>
        <w:rPr>
          <w:sz w:val="22"/>
        </w:rPr>
      </w:r>
    </w:p>
    <w:p>
      <w:pPr>
        <w:pStyle w:val="Body"/>
        <w:ind w:firstLine="558" w:start="90" w:end="720"/>
        <w:jc w:val="both"/>
        <w:rPr/>
      </w:pPr>
      <w:r>
        <w:rPr>
          <w:sz w:val="22"/>
        </w:rPr>
        <w:t xml:space="preserve">If the answer is “no,” then OTC options </w:t>
      </w:r>
      <w:r>
        <w:rPr>
          <w:sz w:val="22"/>
          <w:u w:val="single"/>
        </w:rPr>
        <w:t>and</w:t>
      </w:r>
      <w:r>
        <w:rPr>
          <w:sz w:val="22"/>
        </w:rPr>
        <w:t xml:space="preserve"> swaps on the “softs” are freely tradeable with adequate net-worth counterparties without regard to any physical requirement.</w:t>
      </w:r>
    </w:p>
    <w:p>
      <w:pPr>
        <w:pStyle w:val="Body"/>
        <w:ind w:firstLine="558" w:start="90" w:end="720"/>
        <w:jc w:val="both"/>
        <w:rPr>
          <w:sz w:val="22"/>
        </w:rPr>
      </w:pPr>
      <w:r>
        <w:rPr>
          <w:sz w:val="22"/>
        </w:rPr>
      </w:r>
    </w:p>
    <w:p>
      <w:pPr>
        <w:pStyle w:val="Body"/>
        <w:ind w:firstLine="558" w:start="90" w:end="720"/>
        <w:jc w:val="both"/>
        <w:rPr/>
      </w:pPr>
      <w:r>
        <w:rPr>
          <w:sz w:val="22"/>
        </w:rPr>
        <w:t xml:space="preserve">Lisa Yoho and others in our Regulatory and Public Affairs department are investigating Congress’ intent on this question.  It may be, as some of our outside counsel feel, that this is simply a result of drafting oversight.  Or it may very well be that the CFTC, in making new rules soon to come out, will clarify that </w:t>
      </w:r>
      <w:r>
        <w:rPr>
          <w:sz w:val="22"/>
          <w:u w:val="single"/>
        </w:rPr>
        <w:t>options</w:t>
      </w:r>
      <w:r>
        <w:rPr>
          <w:sz w:val="22"/>
        </w:rPr>
        <w:t xml:space="preserve"> on “softs” commodities are freely tradeable if the net worth requirement is met.</w:t>
      </w:r>
    </w:p>
    <w:p>
      <w:pPr>
        <w:pStyle w:val="Body"/>
        <w:ind w:firstLine="558" w:start="90" w:end="720"/>
        <w:jc w:val="both"/>
        <w:rPr>
          <w:sz w:val="22"/>
        </w:rPr>
      </w:pPr>
      <w:r>
        <w:rPr>
          <w:sz w:val="22"/>
        </w:rPr>
      </w:r>
    </w:p>
    <w:p>
      <w:pPr>
        <w:pStyle w:val="Body"/>
        <w:numPr>
          <w:ilvl w:val="0"/>
          <w:numId w:val="2"/>
        </w:numPr>
        <w:tabs>
          <w:tab w:val="left" w:pos="0" w:leader="none"/>
        </w:tabs>
        <w:ind w:firstLine="720" w:start="0" w:end="720"/>
        <w:jc w:val="both"/>
        <w:rPr>
          <w:sz w:val="22"/>
        </w:rPr>
      </w:pPr>
      <w:r>
        <w:rPr>
          <w:b/>
          <w:bCs/>
          <w:sz w:val="22"/>
        </w:rPr>
        <w:t>“</w:t>
      </w:r>
      <w:r>
        <w:rPr>
          <w:b/>
          <w:bCs/>
          <w:sz w:val="22"/>
        </w:rPr>
        <w:t>Special Procedures to Encourage and Facilitate Bona Fide Hedging by Agricultural Producers” (New Act Section 121)</w:t>
      </w:r>
      <w:r>
        <w:rPr>
          <w:sz w:val="22"/>
        </w:rPr>
        <w:t xml:space="preserve"> – This section of the New Act does not really have any “teeth,” but it does express certain policy goals.  This section instructs the CFTC to “consider issuing rules and orders” that make it easier for farmers to hedge price risk through trading on regulated exchanges.  Among suggested measures are rules providing for more flexibility in margin requirements and minimum quantities per contract.  The CFTC is also instructed to report to Congress on its activities in this area no later than December 21, 2001.</w:t>
      </w:r>
    </w:p>
    <w:p>
      <w:pPr>
        <w:pStyle w:val="Body"/>
        <w:ind w:end="720"/>
        <w:jc w:val="both"/>
        <w:rPr>
          <w:sz w:val="22"/>
        </w:rPr>
      </w:pPr>
      <w:r>
        <w:rPr>
          <w:sz w:val="22"/>
        </w:rPr>
      </w:r>
    </w:p>
    <w:p>
      <w:pPr>
        <w:pStyle w:val="Body"/>
        <w:ind w:firstLine="720" w:start="0" w:end="720"/>
        <w:jc w:val="both"/>
        <w:rPr>
          <w:sz w:val="22"/>
        </w:rPr>
      </w:pPr>
      <w:r>
        <w:rPr>
          <w:sz w:val="22"/>
        </w:rPr>
        <w:t>Rules such as these could result in regulated exchanges such as the Chicago Board of Trade becoming more competitive with respect to customized hedge products.  Any resulting competitive threat to an OTC market-maker would be minimal, however, as very few agricultural producers are of a sufficient net worth to legally trade over-the-counter anyway.</w:t>
      </w:r>
    </w:p>
    <w:p>
      <w:pPr>
        <w:pStyle w:val="Body"/>
        <w:ind w:firstLine="720" w:start="0" w:end="720"/>
        <w:jc w:val="both"/>
        <w:rPr>
          <w:sz w:val="22"/>
        </w:rPr>
      </w:pPr>
      <w:r>
        <w:rPr>
          <w:sz w:val="22"/>
        </w:rPr>
      </w:r>
    </w:p>
    <w:p>
      <w:pPr>
        <w:pStyle w:val="Body"/>
        <w:ind w:firstLine="720" w:start="0" w:end="720"/>
        <w:jc w:val="both"/>
        <w:rPr>
          <w:sz w:val="22"/>
        </w:rPr>
      </w:pPr>
      <w:r>
        <w:rPr>
          <w:sz w:val="22"/>
        </w:rPr>
        <w:t>In one respect, the policy goal expressed is encouraging, in that it reflects a philosophy that access to risk management is beneficial to farmers.  This contrasts with a more paternalistic philosophy that farmers should generally be shielded from risk management products.  It may also signal that Congress is growing tired of underwriting price floors for farmers and wishes to encourage farmers to contract for their own floors, which is also an encouraging policy goal.</w:t>
      </w:r>
    </w:p>
    <w:p>
      <w:pPr>
        <w:pStyle w:val="Body"/>
        <w:ind w:firstLine="720" w:start="0" w:end="720"/>
        <w:jc w:val="both"/>
        <w:rPr>
          <w:sz w:val="22"/>
        </w:rPr>
      </w:pPr>
      <w:r>
        <w:rPr>
          <w:sz w:val="22"/>
        </w:rPr>
      </w:r>
    </w:p>
    <w:p>
      <w:pPr>
        <w:pStyle w:val="Body"/>
        <w:numPr>
          <w:ilvl w:val="0"/>
          <w:numId w:val="2"/>
        </w:numPr>
        <w:tabs>
          <w:tab w:val="left" w:pos="0" w:leader="none"/>
        </w:tabs>
        <w:ind w:firstLine="720" w:start="0" w:end="720"/>
        <w:jc w:val="both"/>
        <w:rPr>
          <w:sz w:val="22"/>
        </w:rPr>
      </w:pPr>
      <w:r>
        <w:rPr>
          <w:b/>
          <w:bCs/>
          <w:sz w:val="22"/>
        </w:rPr>
        <w:t xml:space="preserve">CFTC’s Proposed Revision to Rule 32.13 (“Trade Options on Enumerated Agricultural Commodities”) – </w:t>
      </w:r>
      <w:r>
        <w:rPr>
          <w:sz w:val="22"/>
        </w:rPr>
        <w:t>Separate and apart from the New Act is an administrative rule change currently being proposed by the CFTC.  This proposed rule change is also separate from the upcoming proposed rule changes that the CFTC is expected to issue in conjunction with passage of the New Act.</w:t>
      </w:r>
    </w:p>
    <w:p>
      <w:pPr>
        <w:pStyle w:val="Body"/>
        <w:ind w:end="720"/>
        <w:jc w:val="both"/>
        <w:rPr>
          <w:sz w:val="22"/>
        </w:rPr>
      </w:pPr>
      <w:r>
        <w:rPr>
          <w:sz w:val="22"/>
        </w:rPr>
      </w:r>
    </w:p>
    <w:p>
      <w:pPr>
        <w:pStyle w:val="Body"/>
        <w:ind w:firstLine="720" w:start="0" w:end="720"/>
        <w:jc w:val="both"/>
        <w:rPr/>
      </w:pPr>
      <w:r>
        <w:rPr>
          <w:sz w:val="22"/>
        </w:rPr>
        <w:t xml:space="preserve">This rule change proposes to amend CFTC Rule 32.13, which governs options on the “enumerated” agricultural commodities (i.e., grains and meats).   Currently, Rule 32.13 requires a market-maker in grains and meats options to register as an “agricultural trade option merchant,” and become subject to numerous and onerous restrictions and regulations.  A carve-out is provided if each party to an OTC option has a net worth of at least $10 million </w:t>
      </w:r>
      <w:r>
        <w:rPr>
          <w:sz w:val="22"/>
          <w:u w:val="single"/>
        </w:rPr>
        <w:t>and</w:t>
      </w:r>
      <w:r>
        <w:rPr>
          <w:sz w:val="22"/>
        </w:rPr>
        <w:t xml:space="preserve"> at least one of the parties physically handles the underlying commodity in its course of business.  The proposed rule change would get rid of the physical requirement for compliance with this safe harbor; the requirement that each party have a net worth of at least $10 million would remain.</w:t>
      </w:r>
    </w:p>
    <w:p>
      <w:pPr>
        <w:pStyle w:val="Body"/>
        <w:ind w:firstLine="720" w:start="0" w:end="720"/>
        <w:jc w:val="both"/>
        <w:rPr>
          <w:sz w:val="22"/>
        </w:rPr>
      </w:pPr>
      <w:r>
        <w:rPr>
          <w:sz w:val="22"/>
        </w:rPr>
      </w:r>
    </w:p>
    <w:p>
      <w:pPr>
        <w:pStyle w:val="Body"/>
        <w:ind w:firstLine="720" w:start="0" w:end="720"/>
        <w:jc w:val="both"/>
        <w:rPr>
          <w:sz w:val="22"/>
        </w:rPr>
      </w:pPr>
      <w:r>
        <w:rPr>
          <w:sz w:val="22"/>
        </w:rPr>
        <w:t>This proposal was published by the CFTC on December 13, 2000, with a public comment deadline of December 28, 2000.  This is a very short time frame for the public comment process, and may indicate that the CFTC expected no opposition to the rule change.  The CFTC website posts only one public comment to the rule change – a short comment by Goldman Sachs in support of the rule change.</w:t>
      </w:r>
    </w:p>
    <w:p>
      <w:pPr>
        <w:pStyle w:val="Body"/>
        <w:ind w:firstLine="720" w:start="0" w:end="720"/>
        <w:jc w:val="both"/>
        <w:rPr>
          <w:sz w:val="22"/>
        </w:rPr>
      </w:pPr>
      <w:r>
        <w:rPr>
          <w:sz w:val="22"/>
        </w:rPr>
      </w:r>
    </w:p>
    <w:p>
      <w:pPr>
        <w:pStyle w:val="Body"/>
        <w:ind w:firstLine="720" w:start="0" w:end="720"/>
        <w:jc w:val="both"/>
        <w:rPr>
          <w:sz w:val="22"/>
        </w:rPr>
      </w:pPr>
      <w:r>
        <w:rPr>
          <w:sz w:val="22"/>
        </w:rPr>
      </w:r>
    </w:p>
    <w:p>
      <w:pPr>
        <w:pStyle w:val="Body"/>
        <w:ind w:firstLine="720" w:start="0" w:end="720"/>
        <w:jc w:val="both"/>
        <w:rPr>
          <w:sz w:val="22"/>
        </w:rPr>
      </w:pPr>
      <w:r>
        <w:rPr>
          <w:sz w:val="22"/>
        </w:rPr>
        <w:t>Agricultural issues comprise a very small part of the New Act, which is an extraordinarily complex law. The legal department is in the process of studying the new legislation in detail and designing a useful format in which to present the larger aspects of the New Act to those who are interested.</w:t>
      </w:r>
    </w:p>
    <w:p>
      <w:pPr>
        <w:pStyle w:val="Body"/>
        <w:ind w:firstLine="558" w:start="90" w:end="720"/>
        <w:jc w:val="both"/>
        <w:rPr>
          <w:sz w:val="22"/>
        </w:rPr>
      </w:pPr>
      <w:r>
        <w:rPr>
          <w:sz w:val="22"/>
        </w:rPr>
      </w:r>
    </w:p>
    <w:p>
      <w:pPr>
        <w:pStyle w:val="Body"/>
        <w:ind w:firstLine="558" w:start="90" w:end="720"/>
        <w:jc w:val="both"/>
        <w:rPr>
          <w:sz w:val="22"/>
        </w:rPr>
      </w:pPr>
      <w:r>
        <w:rPr>
          <w:sz w:val="22"/>
        </w:rPr>
      </w:r>
    </w:p>
    <w:p>
      <w:pPr>
        <w:pStyle w:val="Body"/>
        <w:ind w:firstLine="558" w:start="90" w:end="720"/>
        <w:jc w:val="both"/>
        <w:rPr>
          <w:sz w:val="22"/>
        </w:rPr>
      </w:pPr>
      <w:r>
        <w:rPr>
          <w:sz w:val="22"/>
        </w:rPr>
        <w:tab/>
        <w:tab/>
        <w:tab/>
        <w:tab/>
        <w:tab/>
        <w:tab/>
        <w:tab/>
        <w:tab/>
        <w:tab/>
        <w:tab/>
        <w:t xml:space="preserve">REB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/mnt/main-storage/datasets/enron-docs/doc/Ag_Distribution_011601.doc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/mnt/main-storage/datasets/enron-docs/doc/Ag_Distribution_011601.doc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Attorney Client Work Product;</w:t>
    </w:r>
  </w:p>
  <w:p>
    <w:pPr>
      <w:pStyle w:val="Header"/>
      <w:tabs>
        <w:tab w:val="clear" w:pos="4320"/>
        <w:tab w:val="clear" w:pos="8640"/>
        <w:tab w:val="right" w:pos="936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r>
    <w:r>
      <w:rPr>
        <w:b/>
        <w:smallCaps/>
        <w:sz w:val="20"/>
      </w:rPr>
      <w:t>Not Discoverable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b/>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b/>
    </w:rPr>
  </w:style>
  <w:style w:type="character" w:styleId="WW8Num2z0">
    <w:name w:val="WW8Num2z0"/>
    <w:qFormat/>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2001-01-16T20:11:00Z</dcterms:created>
  <dc:creator>Jeff Ford</dc:creator>
  <dc:description/>
  <dc:language>en-CA</dc:language>
  <cp:lastModifiedBy>rbruce2</cp:lastModifiedBy>
  <cp:lastPrinted>2001-01-10T09:23:00Z</cp:lastPrinted>
  <dcterms:modified xsi:type="dcterms:W3CDTF">2001-01-16T22:06:00Z</dcterms:modified>
  <cp:revision>10</cp:revision>
  <dc:subject>Analysis of ECT's Financial, Power and Gas Forms</dc:subject>
  <dc:title>Eron Capital &amp; Trade Resources Memo</dc:title>
</cp:coreProperties>
</file>