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20"/>
          <w:u w:val="single"/>
          <w:lang w:val="en-CA" w:eastAsia="en-CA"/>
        </w:rPr>
      </w:pPr>
      <w:r>
        <w:rPr>
          <w:sz w:val="20"/>
          <w:u w:val="single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4280535</wp:posOffset>
                </wp:positionH>
                <wp:positionV relativeFrom="paragraph">
                  <wp:posOffset>-683260</wp:posOffset>
                </wp:positionV>
                <wp:extent cx="1257300" cy="1028700"/>
                <wp:effectExtent l="12065" t="12065" r="12700" b="1270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480" cy="102888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8"/>
                                <w:b/>
                                <w:i/>
                                <w:szCs w:val="20"/>
                                <w:bCs/>
                                <w:iCs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Business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8"/>
                                <w:b/>
                                <w:i/>
                                <w:szCs w:val="20"/>
                                <w:bCs/>
                                <w:iCs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Casual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8"/>
                                <w:b/>
                                <w:i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Attire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6" coordsize="21600,21600" o:spt="16" adj="5400" path="m0@0l@5@0l@5,21600l,21600xnsem@5@0l21600,l21600@1l@5,21600xnsem0@0l@0,l21600,l@5@0xnsem0@0l@0,l21600,l21600@1l@5,21600l,21600xm0@0l@5@0l21600,m@5@0l@5,21600nfe">
                <v:stroke joinstyle="miter"/>
                <v:formulas>
                  <v:f eqn="val #0"/>
                  <v:f eqn="sum height 0 @0"/>
                  <v:f eqn="prod @1 1 2"/>
                  <v:f eqn="sum @0 height 0"/>
                  <v:f eqn="prod 1 @3 2"/>
                  <v:f eqn="sum width 0 @0"/>
                  <v:f eqn="prod @5 1 2"/>
                  <v:f eqn="sum @0 width 0"/>
                  <v:f eqn="prod 1 @7 2"/>
                </v:formulas>
                <v:path gradientshapeok="t" o:connecttype="rect" textboxrect="0,@0,@5,21600"/>
                <v:handles>
                  <v:h position="0,@0"/>
                </v:handles>
              </v:shapetype>
              <v:shape id="shape_0" fillcolor="white" stroked="t" o:allowincell="f" style="position:absolute;margin-left:337.05pt;margin-top:-53.8pt;width:98.95pt;height:80.95pt;mso-wrap-style:square;v-text-anchor:top" type="_x0000_t16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kern w:val="2"/>
                          <w:sz w:val="28"/>
                          <w:b/>
                          <w:i/>
                          <w:szCs w:val="20"/>
                          <w:bCs/>
                          <w:iCs/>
                          <w:rFonts w:ascii="Times New Roman" w:hAnsi="Times New Roman" w:eastAsia="Times New Roman" w:cs="Times New Roman"/>
                          <w:color w:val="auto"/>
                          <w:lang w:val="en-US" w:bidi="ar-SA"/>
                        </w:rPr>
                        <w:t>Business</w:t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kern w:val="2"/>
                          <w:sz w:val="28"/>
                          <w:b/>
                          <w:i/>
                          <w:szCs w:val="20"/>
                          <w:bCs/>
                          <w:iCs/>
                          <w:rFonts w:ascii="Times New Roman" w:hAnsi="Times New Roman" w:eastAsia="Times New Roman" w:cs="Times New Roman"/>
                          <w:color w:val="auto"/>
                          <w:lang w:val="en-US" w:bidi="ar-SA"/>
                        </w:rPr>
                        <w:t>Casual</w:t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kern w:val="2"/>
                          <w:sz w:val="28"/>
                          <w:b/>
                          <w:i/>
                          <w:szCs w:val="20"/>
                          <w:rFonts w:ascii="Times New Roman" w:hAnsi="Times New Roman" w:eastAsia="Times New Roman" w:cs="Times New Roman"/>
                          <w:color w:val="auto"/>
                          <w:lang w:val="en-US" w:bidi="ar-SA"/>
                        </w:rPr>
                        <w:t>Attire</w:t>
                      </w:r>
                    </w:p>
                  </w:txbxContent>
                </v:textbox>
                <v:fill o:detectmouseclick="t" type="solid" color2="black"/>
                <v:stroke color="black" weight="9360" joinstyle="miter" endcap="flat"/>
                <w10:wrap type="none"/>
              </v:shape>
            </w:pict>
          </mc:Fallback>
        </mc:AlternateContent>
      </w:r>
    </w:p>
    <w:p>
      <w:pPr>
        <w:pStyle w:val="Heading"/>
        <w:jc w:val="end"/>
        <w:rPr>
          <w:u w:val="single"/>
        </w:rPr>
      </w:pPr>
      <w:r>
        <w:rPr>
          <w:u w:val="single"/>
        </w:rPr>
      </w:r>
    </w:p>
    <w:p>
      <w:pPr>
        <w:pStyle w:val="Heading"/>
        <w:jc w:val="start"/>
        <w:rPr>
          <w:u w:val="single"/>
        </w:rPr>
      </w:pPr>
      <w:r>
        <w:rPr>
          <w:u w:val="single"/>
        </w:rPr>
      </w:r>
    </w:p>
    <w:p>
      <w:pPr>
        <w:pStyle w:val="Heading"/>
        <w:rPr/>
      </w:pPr>
      <w:r>
        <w:rPr/>
        <w:t>ERCOT BOARD OF DIRECTORS MEETING</w:t>
      </w:r>
    </w:p>
    <w:p>
      <w:pPr>
        <w:pStyle w:val="Heading"/>
        <w:rPr/>
      </w:pPr>
      <w:r>
        <w:rPr/>
        <w:t>OMNI SOUTHPARK HOTEL</w:t>
      </w:r>
    </w:p>
    <w:p>
      <w:pPr>
        <w:pStyle w:val="Heading"/>
        <w:rPr/>
      </w:pPr>
      <w:r>
        <w:rPr/>
        <w:t>I-35 &amp; BEN WHITE BLVD. (HWY 71)</w:t>
      </w:r>
    </w:p>
    <w:p>
      <w:pPr>
        <w:pStyle w:val="Heading"/>
        <w:rPr/>
      </w:pPr>
      <w:r>
        <w:rPr/>
        <w:t>AUSTIN, TEXAS</w:t>
      </w:r>
    </w:p>
    <w:p>
      <w:pPr>
        <w:pStyle w:val="Heading"/>
        <w:rPr/>
      </w:pPr>
      <w:r>
        <w:rPr/>
        <w:t xml:space="preserve">December 19, 2000:  1:00 P.M. – 4:00 P.M. </w:t>
      </w:r>
    </w:p>
    <w:p>
      <w:pPr>
        <w:pStyle w:val="Heading"/>
        <w:jc w:val="start"/>
        <w:rPr>
          <w:i/>
          <w:i/>
          <w:sz w:val="28"/>
          <w:u w:val="single"/>
        </w:rPr>
      </w:pPr>
      <w:r>
        <w:rPr>
          <w:i/>
          <w:sz w:val="28"/>
          <w:u w:val="single"/>
        </w:rPr>
      </w:r>
    </w:p>
    <w:p>
      <w:pPr>
        <w:pStyle w:val="Heading"/>
        <w:rPr>
          <w:b w:val="false"/>
          <w:i/>
          <w:i/>
          <w:sz w:val="28"/>
          <w:u w:val="single"/>
        </w:rPr>
      </w:pPr>
      <w:r>
        <w:rPr>
          <w:b w:val="false"/>
          <w:i/>
          <w:sz w:val="28"/>
          <w:u w:val="single"/>
        </w:rPr>
      </w:r>
    </w:p>
    <w:p>
      <w:pPr>
        <w:pStyle w:val="Heading"/>
        <w:jc w:val="start"/>
        <w:rPr>
          <w:b w:val="false"/>
          <w:sz w:val="28"/>
        </w:rPr>
      </w:pPr>
      <w:r>
        <w:rPr>
          <w:b w:val="false"/>
          <w:sz w:val="28"/>
        </w:rPr>
      </w:r>
    </w:p>
    <w:tbl>
      <w:tblPr>
        <w:tblW w:w="918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3"/>
        <w:gridCol w:w="5107"/>
        <w:gridCol w:w="2250"/>
        <w:gridCol w:w="1350"/>
      </w:tblGrid>
      <w:tr>
        <w:trPr/>
        <w:tc>
          <w:tcPr>
            <w:tcW w:w="473" w:type="dxa"/>
            <w:tcBorders/>
          </w:tcPr>
          <w:p>
            <w:pPr>
              <w:pStyle w:val="Heading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Heading"/>
              <w:jc w:val="star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107" w:type="dxa"/>
            <w:tcBorders/>
          </w:tcPr>
          <w:p>
            <w:pPr>
              <w:pStyle w:val="Heading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Heading"/>
              <w:jc w:val="start"/>
              <w:rPr>
                <w:sz w:val="20"/>
              </w:rPr>
            </w:pPr>
            <w:r>
              <w:rPr>
                <w:sz w:val="20"/>
              </w:rPr>
              <w:t>Call to Order</w:t>
            </w:r>
          </w:p>
        </w:tc>
        <w:tc>
          <w:tcPr>
            <w:tcW w:w="2250" w:type="dxa"/>
            <w:tcBorders/>
          </w:tcPr>
          <w:p>
            <w:pPr>
              <w:pStyle w:val="Heading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Heading"/>
              <w:rPr>
                <w:sz w:val="20"/>
              </w:rPr>
            </w:pPr>
            <w:r>
              <w:rPr>
                <w:sz w:val="20"/>
              </w:rPr>
              <w:t>D. McClanahan</w:t>
            </w:r>
          </w:p>
        </w:tc>
        <w:tc>
          <w:tcPr>
            <w:tcW w:w="1350" w:type="dxa"/>
            <w:tcBorders/>
          </w:tcPr>
          <w:p>
            <w:pPr>
              <w:pStyle w:val="Heading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Heading"/>
              <w:rPr>
                <w:sz w:val="20"/>
              </w:rPr>
            </w:pPr>
            <w:r>
              <w:rPr>
                <w:sz w:val="20"/>
              </w:rPr>
              <w:t>1:00 p.m.</w:t>
            </w:r>
          </w:p>
        </w:tc>
      </w:tr>
      <w:tr>
        <w:trPr/>
        <w:tc>
          <w:tcPr>
            <w:tcW w:w="473" w:type="dxa"/>
            <w:tcBorders/>
          </w:tcPr>
          <w:p>
            <w:pPr>
              <w:pStyle w:val="Heading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Heading"/>
              <w:jc w:val="star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107" w:type="dxa"/>
            <w:tcBorders/>
          </w:tcPr>
          <w:p>
            <w:pPr>
              <w:pStyle w:val="Heading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Heading"/>
              <w:jc w:val="start"/>
              <w:rPr>
                <w:sz w:val="20"/>
              </w:rPr>
            </w:pPr>
            <w:r>
              <w:rPr>
                <w:sz w:val="20"/>
              </w:rPr>
              <w:t>Approval of Minutes of the November 21, 2000</w:t>
            </w:r>
          </w:p>
          <w:p>
            <w:pPr>
              <w:pStyle w:val="Heading"/>
              <w:jc w:val="start"/>
              <w:rPr>
                <w:sz w:val="20"/>
              </w:rPr>
            </w:pPr>
            <w:r>
              <w:rPr>
                <w:sz w:val="20"/>
              </w:rPr>
              <w:t>Meeting  (Vote)*</w:t>
            </w:r>
          </w:p>
        </w:tc>
        <w:tc>
          <w:tcPr>
            <w:tcW w:w="2250" w:type="dxa"/>
            <w:tcBorders/>
          </w:tcPr>
          <w:p>
            <w:pPr>
              <w:pStyle w:val="Heading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Heading"/>
              <w:rPr>
                <w:sz w:val="20"/>
              </w:rPr>
            </w:pPr>
            <w:r>
              <w:rPr>
                <w:sz w:val="20"/>
              </w:rPr>
              <w:t>D. McClanahan</w:t>
            </w:r>
          </w:p>
        </w:tc>
        <w:tc>
          <w:tcPr>
            <w:tcW w:w="1350" w:type="dxa"/>
            <w:tcBorders/>
          </w:tcPr>
          <w:p>
            <w:pPr>
              <w:pStyle w:val="Heading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Heading"/>
              <w:rPr>
                <w:sz w:val="20"/>
              </w:rPr>
            </w:pPr>
            <w:r>
              <w:rPr>
                <w:sz w:val="20"/>
              </w:rPr>
              <w:t>1:00 p.m.</w:t>
            </w:r>
          </w:p>
        </w:tc>
      </w:tr>
      <w:tr>
        <w:trPr/>
        <w:tc>
          <w:tcPr>
            <w:tcW w:w="473" w:type="dxa"/>
            <w:tcBorders/>
          </w:tcPr>
          <w:p>
            <w:pPr>
              <w:pStyle w:val="Heading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Heading"/>
              <w:jc w:val="star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107" w:type="dxa"/>
            <w:tcBorders/>
          </w:tcPr>
          <w:p>
            <w:pPr>
              <w:pStyle w:val="Heading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Heading"/>
              <w:jc w:val="start"/>
              <w:rPr>
                <w:sz w:val="20"/>
              </w:rPr>
            </w:pPr>
            <w:r>
              <w:rPr>
                <w:sz w:val="20"/>
              </w:rPr>
              <w:t>Nomination and Election of ERCOT Board Chairman and Vice Chairman for 2001 (Vote)</w:t>
            </w:r>
          </w:p>
        </w:tc>
        <w:tc>
          <w:tcPr>
            <w:tcW w:w="2250" w:type="dxa"/>
            <w:tcBorders/>
          </w:tcPr>
          <w:p>
            <w:pPr>
              <w:pStyle w:val="Heading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Heading"/>
              <w:rPr>
                <w:sz w:val="20"/>
              </w:rPr>
            </w:pPr>
            <w:r>
              <w:rPr>
                <w:sz w:val="20"/>
              </w:rPr>
              <w:t>M. Pemberton</w:t>
            </w:r>
          </w:p>
        </w:tc>
        <w:tc>
          <w:tcPr>
            <w:tcW w:w="1350" w:type="dxa"/>
            <w:tcBorders/>
          </w:tcPr>
          <w:p>
            <w:pPr>
              <w:pStyle w:val="Heading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Heading"/>
              <w:rPr>
                <w:sz w:val="20"/>
              </w:rPr>
            </w:pPr>
            <w:r>
              <w:rPr>
                <w:sz w:val="20"/>
              </w:rPr>
              <w:t>1:00 p.m.</w:t>
            </w:r>
          </w:p>
        </w:tc>
      </w:tr>
      <w:tr>
        <w:trPr>
          <w:trHeight w:val="756" w:hRule="atLeast"/>
        </w:trPr>
        <w:tc>
          <w:tcPr>
            <w:tcW w:w="473" w:type="dxa"/>
            <w:tcBorders/>
          </w:tcPr>
          <w:p>
            <w:pPr>
              <w:pStyle w:val="Heading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Heading"/>
              <w:jc w:val="star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107" w:type="dxa"/>
            <w:tcBorders/>
          </w:tcPr>
          <w:p>
            <w:pPr>
              <w:pStyle w:val="Heading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Heading"/>
              <w:jc w:val="start"/>
              <w:rPr>
                <w:sz w:val="20"/>
              </w:rPr>
            </w:pPr>
            <w:r>
              <w:rPr>
                <w:sz w:val="20"/>
              </w:rPr>
              <w:t>Intervenor Proposal (ERCOT Administrative Fee) (Vote)*</w:t>
            </w:r>
          </w:p>
          <w:p>
            <w:pPr>
              <w:pStyle w:val="Heading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50" w:type="dxa"/>
            <w:tcBorders/>
          </w:tcPr>
          <w:p>
            <w:pPr>
              <w:pStyle w:val="Heading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Heading"/>
              <w:rPr>
                <w:sz w:val="20"/>
              </w:rPr>
            </w:pPr>
            <w:r>
              <w:rPr>
                <w:sz w:val="20"/>
              </w:rPr>
              <w:t>Intervenors</w:t>
            </w:r>
          </w:p>
        </w:tc>
        <w:tc>
          <w:tcPr>
            <w:tcW w:w="1350" w:type="dxa"/>
            <w:tcBorders/>
          </w:tcPr>
          <w:p>
            <w:pPr>
              <w:pStyle w:val="Heading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Heading"/>
              <w:jc w:val="start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>
              <w:rPr>
                <w:sz w:val="20"/>
              </w:rPr>
              <w:t>1:30 p.m.</w:t>
            </w:r>
          </w:p>
          <w:p>
            <w:pPr>
              <w:pStyle w:val="Heading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530" w:hRule="atLeast"/>
        </w:trPr>
        <w:tc>
          <w:tcPr>
            <w:tcW w:w="473" w:type="dxa"/>
            <w:tcBorders/>
          </w:tcPr>
          <w:p>
            <w:pPr>
              <w:pStyle w:val="Heading"/>
              <w:jc w:val="start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5107" w:type="dxa"/>
            <w:tcBorders/>
          </w:tcPr>
          <w:p>
            <w:pPr>
              <w:pStyle w:val="Heading"/>
              <w:jc w:val="start"/>
              <w:rPr>
                <w:sz w:val="20"/>
              </w:rPr>
            </w:pPr>
            <w:r>
              <w:rPr>
                <w:sz w:val="20"/>
              </w:rPr>
              <w:t>Protocols Update</w:t>
            </w:r>
          </w:p>
          <w:p>
            <w:pPr>
              <w:pStyle w:val="Heading"/>
              <w:numPr>
                <w:ilvl w:val="0"/>
                <w:numId w:val="2"/>
              </w:numPr>
              <w:jc w:val="start"/>
              <w:rPr>
                <w:sz w:val="20"/>
              </w:rPr>
            </w:pPr>
            <w:r>
              <w:rPr>
                <w:sz w:val="20"/>
              </w:rPr>
              <w:t>RUG Report *</w:t>
            </w:r>
          </w:p>
          <w:p>
            <w:pPr>
              <w:pStyle w:val="Heading"/>
              <w:numPr>
                <w:ilvl w:val="0"/>
                <w:numId w:val="2"/>
              </w:numPr>
              <w:jc w:val="start"/>
              <w:rPr>
                <w:sz w:val="20"/>
              </w:rPr>
            </w:pPr>
            <w:r>
              <w:rPr>
                <w:sz w:val="20"/>
              </w:rPr>
              <w:t xml:space="preserve">PIP Update </w:t>
            </w:r>
            <w:r>
              <w:rPr/>
              <w:t>*</w:t>
            </w:r>
          </w:p>
          <w:p>
            <w:pPr>
              <w:pStyle w:val="Heading"/>
              <w:numPr>
                <w:ilvl w:val="0"/>
                <w:numId w:val="2"/>
              </w:numPr>
              <w:jc w:val="start"/>
              <w:rPr>
                <w:sz w:val="20"/>
              </w:rPr>
            </w:pPr>
            <w:r>
              <w:rPr>
                <w:sz w:val="20"/>
              </w:rPr>
              <w:t>Authorize the filing of the Protocols Supplement (Vote)*</w:t>
            </w:r>
          </w:p>
        </w:tc>
        <w:tc>
          <w:tcPr>
            <w:tcW w:w="2250" w:type="dxa"/>
            <w:tcBorders/>
          </w:tcPr>
          <w:p>
            <w:pPr>
              <w:pStyle w:val="Heading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Heading"/>
              <w:rPr>
                <w:sz w:val="20"/>
              </w:rPr>
            </w:pPr>
            <w:r>
              <w:rPr>
                <w:sz w:val="20"/>
              </w:rPr>
              <w:t>J. Meyer</w:t>
            </w:r>
          </w:p>
          <w:p>
            <w:pPr>
              <w:pStyle w:val="Heading"/>
              <w:rPr>
                <w:sz w:val="20"/>
              </w:rPr>
            </w:pPr>
            <w:r>
              <w:rPr>
                <w:sz w:val="20"/>
              </w:rPr>
              <w:t>B. Jones/S. Jones</w:t>
            </w:r>
          </w:p>
          <w:p>
            <w:pPr>
              <w:pStyle w:val="Heading"/>
              <w:rPr>
                <w:sz w:val="20"/>
              </w:rPr>
            </w:pPr>
            <w:r>
              <w:rPr>
                <w:sz w:val="20"/>
              </w:rPr>
              <w:t>M. Walker</w:t>
            </w:r>
          </w:p>
        </w:tc>
        <w:tc>
          <w:tcPr>
            <w:tcW w:w="1350" w:type="dxa"/>
            <w:tcBorders/>
          </w:tcPr>
          <w:p>
            <w:pPr>
              <w:pStyle w:val="Heading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Heading"/>
              <w:rPr>
                <w:sz w:val="20"/>
              </w:rPr>
            </w:pPr>
            <w:r>
              <w:rPr>
                <w:sz w:val="20"/>
              </w:rPr>
              <w:t>2:15 p.m.</w:t>
            </w:r>
          </w:p>
          <w:p>
            <w:pPr>
              <w:pStyle w:val="Heading"/>
              <w:rPr>
                <w:sz w:val="20"/>
              </w:rPr>
            </w:pPr>
            <w:r>
              <w:rPr>
                <w:sz w:val="20"/>
              </w:rPr>
              <w:t>2:45 p.m.</w:t>
            </w:r>
          </w:p>
          <w:p>
            <w:pPr>
              <w:pStyle w:val="Heading"/>
              <w:rPr>
                <w:sz w:val="20"/>
              </w:rPr>
            </w:pPr>
            <w:r>
              <w:rPr>
                <w:sz w:val="20"/>
              </w:rPr>
              <w:t>3:15 p.m.</w:t>
            </w:r>
          </w:p>
        </w:tc>
      </w:tr>
      <w:tr>
        <w:trPr/>
        <w:tc>
          <w:tcPr>
            <w:tcW w:w="473" w:type="dxa"/>
            <w:tcBorders/>
          </w:tcPr>
          <w:p>
            <w:pPr>
              <w:pStyle w:val="Heading"/>
              <w:jc w:val="star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5107" w:type="dxa"/>
            <w:tcBorders/>
          </w:tcPr>
          <w:p>
            <w:pPr>
              <w:pStyle w:val="Heading"/>
              <w:jc w:val="start"/>
              <w:rPr>
                <w:sz w:val="20"/>
              </w:rPr>
            </w:pPr>
            <w:r>
              <w:rPr>
                <w:sz w:val="20"/>
              </w:rPr>
              <w:t xml:space="preserve">TAC Report </w:t>
            </w:r>
          </w:p>
          <w:p>
            <w:pPr>
              <w:pStyle w:val="Heading"/>
              <w:numPr>
                <w:ilvl w:val="0"/>
                <w:numId w:val="3"/>
              </w:numPr>
              <w:jc w:val="start"/>
              <w:rPr>
                <w:sz w:val="20"/>
              </w:rPr>
            </w:pPr>
            <w:r>
              <w:rPr>
                <w:sz w:val="20"/>
              </w:rPr>
              <w:t>Confirmation of TAC Chair and Vice Chair (Vote)</w:t>
            </w:r>
          </w:p>
        </w:tc>
        <w:tc>
          <w:tcPr>
            <w:tcW w:w="2250" w:type="dxa"/>
            <w:tcBorders/>
          </w:tcPr>
          <w:p>
            <w:pPr>
              <w:pStyle w:val="Heading"/>
              <w:rPr>
                <w:sz w:val="20"/>
              </w:rPr>
            </w:pPr>
            <w:r>
              <w:rPr>
                <w:sz w:val="20"/>
              </w:rPr>
              <w:t>TAC</w:t>
            </w:r>
          </w:p>
        </w:tc>
        <w:tc>
          <w:tcPr>
            <w:tcW w:w="1350" w:type="dxa"/>
            <w:tcBorders/>
          </w:tcPr>
          <w:p>
            <w:pPr>
              <w:pStyle w:val="Heading"/>
              <w:rPr>
                <w:sz w:val="20"/>
              </w:rPr>
            </w:pPr>
            <w:r>
              <w:rPr>
                <w:sz w:val="20"/>
              </w:rPr>
              <w:t>3:25 p.m.</w:t>
            </w:r>
          </w:p>
        </w:tc>
      </w:tr>
      <w:tr>
        <w:trPr>
          <w:trHeight w:val="828" w:hRule="atLeast"/>
        </w:trPr>
        <w:tc>
          <w:tcPr>
            <w:tcW w:w="473" w:type="dxa"/>
            <w:tcBorders/>
          </w:tcPr>
          <w:p>
            <w:pPr>
              <w:pStyle w:val="Heading"/>
              <w:snapToGrid w:val="false"/>
              <w:jc w:val="star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Heading"/>
              <w:jc w:val="start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5107" w:type="dxa"/>
            <w:tcBorders/>
          </w:tcPr>
          <w:p>
            <w:pPr>
              <w:pStyle w:val="Heading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Heading"/>
              <w:jc w:val="start"/>
              <w:rPr>
                <w:sz w:val="20"/>
              </w:rPr>
            </w:pPr>
            <w:r>
              <w:rPr>
                <w:sz w:val="20"/>
              </w:rPr>
              <w:t>Executive Session: Compensation Committee Report (Vote)</w:t>
            </w:r>
          </w:p>
        </w:tc>
        <w:tc>
          <w:tcPr>
            <w:tcW w:w="2250" w:type="dxa"/>
            <w:tcBorders/>
          </w:tcPr>
          <w:p>
            <w:pPr>
              <w:pStyle w:val="Heading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Heading"/>
              <w:rPr>
                <w:sz w:val="20"/>
              </w:rPr>
            </w:pPr>
            <w:r>
              <w:rPr>
                <w:sz w:val="20"/>
              </w:rPr>
              <w:t>J. Hawks</w:t>
            </w:r>
          </w:p>
        </w:tc>
        <w:tc>
          <w:tcPr>
            <w:tcW w:w="1350" w:type="dxa"/>
            <w:tcBorders/>
          </w:tcPr>
          <w:p>
            <w:pPr>
              <w:pStyle w:val="Heading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Heading"/>
              <w:rPr>
                <w:sz w:val="20"/>
              </w:rPr>
            </w:pPr>
            <w:r>
              <w:rPr>
                <w:sz w:val="20"/>
              </w:rPr>
              <w:t>3:30 p.m.</w:t>
            </w:r>
          </w:p>
        </w:tc>
      </w:tr>
      <w:tr>
        <w:trPr/>
        <w:tc>
          <w:tcPr>
            <w:tcW w:w="473" w:type="dxa"/>
            <w:tcBorders/>
          </w:tcPr>
          <w:p>
            <w:pPr>
              <w:pStyle w:val="Heading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Heading"/>
              <w:jc w:val="start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5107" w:type="dxa"/>
            <w:tcBorders/>
          </w:tcPr>
          <w:p>
            <w:pPr>
              <w:pStyle w:val="Heading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Heading"/>
              <w:jc w:val="start"/>
              <w:rPr>
                <w:sz w:val="20"/>
              </w:rPr>
            </w:pPr>
            <w:r>
              <w:rPr>
                <w:sz w:val="20"/>
              </w:rPr>
              <w:t>Adjourn</w:t>
            </w:r>
          </w:p>
        </w:tc>
        <w:tc>
          <w:tcPr>
            <w:tcW w:w="2250" w:type="dxa"/>
            <w:tcBorders/>
          </w:tcPr>
          <w:p>
            <w:pPr>
              <w:pStyle w:val="Heading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Heading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50" w:type="dxa"/>
            <w:tcBorders/>
          </w:tcPr>
          <w:p>
            <w:pPr>
              <w:pStyle w:val="Heading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Heading"/>
              <w:rPr>
                <w:sz w:val="20"/>
              </w:rPr>
            </w:pPr>
            <w:r>
              <w:rPr>
                <w:sz w:val="20"/>
              </w:rPr>
              <w:t>4:00 p.m.</w:t>
            </w:r>
          </w:p>
        </w:tc>
      </w:tr>
    </w:tbl>
    <w:p>
      <w:pPr>
        <w:pStyle w:val="Heading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>
          <w:sz w:val="22"/>
        </w:rPr>
        <w:t xml:space="preserve">  </w:t>
      </w:r>
      <w:r>
        <w:rPr>
          <w:sz w:val="22"/>
        </w:rPr>
        <w:t xml:space="preserve">*  </w:t>
      </w:r>
      <w:r>
        <w:rPr>
          <w:i/>
          <w:sz w:val="22"/>
        </w:rPr>
        <w:t>Background material enclosed or will be distributed prior to meeting</w:t>
      </w:r>
    </w:p>
    <w:p>
      <w:pPr>
        <w:pStyle w:val="Normal"/>
        <w:rPr/>
      </w:pPr>
      <w:r>
        <w:rPr>
          <w:sz w:val="22"/>
        </w:rPr>
        <w:t xml:space="preserve">** </w:t>
      </w:r>
      <w:r>
        <w:rPr>
          <w:i/>
          <w:sz w:val="22"/>
        </w:rPr>
        <w:t>All times shown in the Agenda are approximate.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Tahom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upperLetter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3">
    <w:lvl w:ilvl="0">
      <w:start w:val="1"/>
      <w:numFmt w:val="upperLetter"/>
      <w:lvlText w:val="%1."/>
      <w:lvlJc w:val="start"/>
      <w:pPr>
        <w:tabs>
          <w:tab w:val="num" w:pos="720"/>
        </w:tabs>
        <w:ind w:start="72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bCs/>
      <w:i/>
      <w:iCs/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/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2000-12-12T18:44:00Z</dcterms:created>
  <dc:creator>Larry D. Grimm</dc:creator>
  <dc:description/>
  <dc:language>en-CA</dc:language>
  <cp:lastModifiedBy>Shari Heino</cp:lastModifiedBy>
  <cp:lastPrinted>2000-12-12T15:04:00Z</cp:lastPrinted>
  <dcterms:modified xsi:type="dcterms:W3CDTF">2000-12-12T21:30:00Z</dcterms:modified>
  <cp:revision>9</cp:revision>
  <dc:subject/>
  <dc:title/>
</cp:coreProperties>
</file>