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u w:val="single"/>
        </w:rPr>
      </w:pPr>
      <w:r>
        <w:rPr>
          <w:u w:val="single"/>
        </w:rPr>
        <w:t>AGREEMENT RELATED TO ARCHITECTURAL</w:t>
        <w:br/>
        <w:t>REVIEW AND APPROVAL</w:t>
      </w:r>
    </w:p>
    <w:p>
      <w:pPr>
        <w:pStyle w:val="BodyTextFirstIndent"/>
        <w:rPr/>
      </w:pPr>
      <w:r>
        <w:rPr/>
        <w:t>THIS AGREEMENT RELATED TO ARCHITECTURAL REVIEW AND APPROVAL (this “Agreement”) is made and entered into as of May ___, 2001 by and between the CITY OF FORT PIERCE, a Florida municipality (the “City”), whose address is 100 North U. S. Hwy. 1, Fort Pierce, Florida  34950 and FORT PIERCE REPOWERING PROJECT, LLC, a Delaware limited liability company (the “Lessee”) acting through its agent Enron North America Corp., a Delaware corporation (the “Agent”).</w:t>
      </w:r>
    </w:p>
    <w:p>
      <w:pPr>
        <w:pStyle w:val="Caption"/>
        <w:rPr/>
      </w:pPr>
      <w:r>
        <w:rPr/>
        <w:t>Recitals</w:t>
      </w:r>
    </w:p>
    <w:p>
      <w:pPr>
        <w:pStyle w:val="Heading2"/>
        <w:ind w:hanging="0" w:start="0"/>
        <w:rPr/>
      </w:pPr>
      <w:r>
        <w:rPr/>
        <w:t>Lessee wishes to repower the Fort Pierce Utilities Authority’s (“FPUA”) H.D. King Electric Generating Plant (“King Plant”) by designing and constructing a power generation facility (the “Facility”) to produce steam for use in the King Plant utilizing interconnection facilities between the Facility and the King Plant.</w:t>
      </w:r>
    </w:p>
    <w:p>
      <w:pPr>
        <w:pStyle w:val="Heading2"/>
        <w:ind w:hanging="0" w:start="0"/>
        <w:rPr/>
      </w:pPr>
      <w:r>
        <w:rPr/>
        <w:t>The Facility will be built by the Lessee on property owned by the City and leased (with City approval) from the Fort Pierce Utilities Authority (“FPUA”), a part of the City of Fort Pierce, Florida, pursuant to a ground lease (the “Ground Lease”) between Lessee and FPUA.</w:t>
      </w:r>
    </w:p>
    <w:p>
      <w:pPr>
        <w:pStyle w:val="Heading2"/>
        <w:ind w:hanging="0" w:start="0"/>
        <w:rPr/>
      </w:pPr>
      <w:r>
        <w:rPr/>
        <w:t xml:space="preserve">Lessee worked closely with the City’s </w:t>
      </w:r>
      <w:r>
        <w:rPr>
          <w:szCs w:val="23"/>
        </w:rPr>
        <w:t xml:space="preserve">Director of Planning and Development (“Director”) </w:t>
      </w:r>
      <w:r>
        <w:rPr/>
        <w:t>and other members of the City staff to obtain the City Planning Board’s recommendation of approval of Lessee’s request for conditional use and site plan approval.</w:t>
      </w:r>
    </w:p>
    <w:p>
      <w:pPr>
        <w:pStyle w:val="Heading2"/>
        <w:ind w:hanging="0" w:start="0"/>
        <w:rPr/>
      </w:pPr>
      <w:r>
        <w:rPr/>
        <w:t>City staff recommended approval of Lessee’s conditional use and site plan based on representations and submittals from Lessee that the Facility will be comprised of a structure of superior architectural quality and will be built as represented and depicted in the architectural drawings and renderings submitted to the City during the site plant process.</w:t>
      </w:r>
    </w:p>
    <w:p>
      <w:pPr>
        <w:pStyle w:val="Heading2"/>
        <w:ind w:hanging="0" w:start="0"/>
        <w:rPr/>
      </w:pPr>
      <w:r>
        <w:rPr/>
        <w:t>On February 5, 2001, the City Commission approved Lessee’s request for conditional use and site plan approval to repower the Facility, which approval was granted based on City staff’s discussion of the architectural drawings and renderings submitted to the City during the site plan process.</w:t>
      </w:r>
    </w:p>
    <w:p>
      <w:pPr>
        <w:pStyle w:val="Heading2"/>
        <w:ind w:hanging="0" w:start="0"/>
        <w:rPr/>
      </w:pPr>
      <w:r>
        <w:rPr/>
        <w:t>It is the intent of this Agreement to address the architectural quality of the Facility and to further provide for City approvals and conditions of the granting of building permits.</w:t>
      </w:r>
    </w:p>
    <w:p>
      <w:pPr>
        <w:pStyle w:val="Heading2"/>
        <w:ind w:hanging="0" w:start="0"/>
        <w:rPr/>
      </w:pPr>
      <w:r>
        <w:rPr/>
        <w:t>FPRP has delegated certain of its rights, responsibilities and obligations under this Agreement to Agent, and Agent has accepted that assignment and delegation, as set forth in more detail in Section 7.</w:t>
      </w:r>
    </w:p>
    <w:p>
      <w:pPr>
        <w:pStyle w:val="Caption"/>
        <w:rPr/>
      </w:pPr>
      <w:r>
        <w:rPr/>
        <w:t>Terms of Agreement</w:t>
      </w:r>
    </w:p>
    <w:p>
      <w:pPr>
        <w:pStyle w:val="BodyTextFirstIndent"/>
        <w:rPr/>
      </w:pPr>
      <w:r>
        <w:rPr/>
        <w:t>NOW, THEREFORE, for good and valuable consideration, the receipt and sufficiency of which are hereby acknowledged, the parties hereto hereby agree as follows:</w:t>
      </w:r>
    </w:p>
    <w:p>
      <w:pPr>
        <w:pStyle w:val="Heading3"/>
        <w:ind w:hanging="0" w:start="0"/>
        <w:rPr/>
      </w:pPr>
      <w:r>
        <w:rPr/>
        <w:t xml:space="preserve">The Recitals stated above are true and correct and are hereby incorporated herein by this reference. </w:t>
      </w:r>
    </w:p>
    <w:p>
      <w:pPr>
        <w:pStyle w:val="Heading3"/>
        <w:ind w:hanging="0" w:start="0"/>
        <w:rPr/>
      </w:pPr>
      <w:r>
        <w:rPr/>
        <w:t>This Agreement shall become effective on the date on which the last of the parties hereto signs this Agreement and the City Commission shall authorize FPUA to execute the Ground Lease and related real property agreements.</w:t>
      </w:r>
    </w:p>
    <w:p>
      <w:pPr>
        <w:pStyle w:val="Heading3"/>
        <w:ind w:hanging="0" w:start="0"/>
        <w:rPr>
          <w:szCs w:val="23"/>
        </w:rPr>
      </w:pPr>
      <w:r>
        <w:rPr/>
        <w:t xml:space="preserve">The Lessee </w:t>
      </w:r>
      <w:r>
        <w:rPr>
          <w:szCs w:val="23"/>
        </w:rPr>
        <w:t>agrees that at or prior to the time application is made for a building permit for the Facility and before such permit is issued, the Lessee shall submit final architectural and site plan drawings for the Facility to the Director for review, which architectural and site plan drawings shall be consistent with the conceptual drawings and architectural elevations of the proposed Facility submitted in connection with Lessee’s approved site plan except for immaterial deviations or changes made in contemplation of use of the drawings in actual construction of the Facility.  Lessee shall cause the Facility to be designed in accordance with the site plan design concepts reflected in the drawings of the proposed Facility submitted with the building permits, and to be constructed consistent with such drawings.</w:t>
      </w:r>
    </w:p>
    <w:p>
      <w:pPr>
        <w:pStyle w:val="Heading3"/>
        <w:ind w:hanging="0" w:start="0"/>
        <w:rPr/>
      </w:pPr>
      <w:r>
        <w:rPr/>
        <w:t>Any changes to the final architectural and site plan drawings submitted with the Lessee’s building permit application that are not in accord with the design concepts reflected in the architectural elevations of the proposed Facility and site plan drawings submitted with the approved site plan shall be subject to approval by either the Director or the Planning Board, as the City elects, provided that approval from either the Director or the Planning Board communicated to Lessee in writing shall be binding on the City.  Changes to the final architectural and site plan drawings required to be approved by the City (as the same may be modified from time to time with City approval) shall be submitted by Lessee to the Director in writing, and a consent shall be given or denied in writing within ten (10) days after submission.</w:t>
      </w:r>
    </w:p>
    <w:p>
      <w:pPr>
        <w:pStyle w:val="Heading3"/>
        <w:ind w:hanging="0" w:start="0"/>
        <w:rPr/>
      </w:pPr>
      <w:r>
        <w:rPr/>
        <w:t>Building permits will be issued after review of the construction documents for the Facility for compliance with applicable building codes, the approved site plan, and proposed architectural concepts consistent with the drawings and renderings submitted to the City during the site plan approval process.  As required by the approved site plan, all mechanical and support elements for the Facility will be located within the masonry structure.  All mechanical elements for the Facility will be concealed from view by the masonry structure, the only exception being the proposed stack(s), which must include architectural details to match the level of architectural quality of the building exterior.  The exterior finishes of the masonry structure will be stucco and stone.  All site work and landscape materials will be of the high quality and must be approved by the City’s Urban Forrester before installation.  As part of the permit process, Lessee shall also submit a detailed construction schedule for approval by the Building Official and the Director.  The Lessee agrees to phase construction in a manner which minimizes to the extent reasonably practicable any adverse aesthetic impact of the Facility during construction.</w:t>
      </w:r>
    </w:p>
    <w:p>
      <w:pPr>
        <w:pStyle w:val="Heading3"/>
        <w:ind w:hanging="0" w:start="0"/>
        <w:rPr>
          <w:color w:val="000000"/>
        </w:rPr>
      </w:pPr>
      <w:r>
        <w:rPr/>
        <w:t xml:space="preserve">In the event the Director or the Planning Board, as the case may be, fails to approve a Lessee requested change pursuant to Section 4, Lessee may appeal such decision in writing delivered to the Director.  Upon receipt of Lessee’s appeal, the Lessee and the Director or a representative of the Planning Board, as the case may be, shall consult and negotiate with each other in good faith and, recognizing their mutual interests, attempt to reach a just and equitable modification to Lessee’s submission satisfactory to both parties. If they do not agree to a modification within a period of ten (10) days after receipt of Lessee’s appeal, then, upon notice by the Lessee to the Clerk of the City Commission, the </w:t>
      </w:r>
      <w:r>
        <w:rPr>
          <w:color w:val="000000"/>
        </w:rPr>
        <w:t>dispute shall be submitted to the City Commission within ten (10) days after the Clerk’s receipt of such notice, including to a special session of the City Commission, if required to meet such submission deadline.  If the City Commission fails to approve Lessee’s requested change, Lessee may appeal such determination to the Circuit Court of St. Lucie County, Florida. Such an appeal shall not be a hearing de novo but shall be limited to appellate review of the record created before the City Commission. Any appeal must be filed within thirty (30) days of the date of Lessee’s receipt of the written determination by the City Commission.  In the event the Circuit Court rejects Lessee’s appeal, all costs incurred by the City in connection therewith shall be reimbursed to the City by Lessee.</w:t>
      </w:r>
    </w:p>
    <w:p>
      <w:pPr>
        <w:pStyle w:val="Heading3"/>
        <w:ind w:hanging="0" w:start="0"/>
        <w:rPr/>
      </w:pPr>
      <w:r>
        <w:rPr>
          <w:color w:val="000000"/>
        </w:rPr>
      </w:r>
    </w:p>
    <w:p>
      <w:pPr>
        <w:pStyle w:val="Heading4"/>
        <w:ind w:hanging="0" w:start="0"/>
        <w:rPr/>
      </w:pPr>
      <w:r>
        <w:rPr/>
        <w:t>FPRP REPRESENTS AND WARRANTS THAT IT HAS APPOINTED AGENT AS ITS SOLE AND EXCLUSIVE DEVELOPMENT AND CONSTRUCTION MANAGER WITH RESPECT TO THIS AGREEMENT FOR THE PERIOD BEGINNING ON THE DATE THIS AGREEMENT IS EXECUTED AND ENDING ON THE DATE OF FINAL COMPLETION OF THE CONSTRUCTION OF THE FACILITY, DURING SUCH PERIOD HAS ASSIGNED TO AGENT ALL RIGHTS OF FPRP UNDER THIS AGREEMENT AND HAS DELEGATED TO AGENT ALL OF THE RESPONSIBILITIES AND OBLIGATIONS OF FPRP UNDER THIS AGREEMENT (OTHER THAN ANY PAYMENT OBLIGATIONS HEREUNDER).  AGENT REPRESENTS AND WARRANTS THAT IT HAS ACCEPTED APPOINTMENT AS FPRP’S SOLE AND EXCLUSIVE DEVELOPMENT AND CONSTRUCTION MANAGER WITH RESPECT TO THIS AGREEMENT FOR THE PERIOD BEGINNING ON THE DATE THIS AGREEMENT IS EXECUTED AND ENDING ON THE DATE OF FINAL COMPLETION OF THE CONSTRUCTION OF THE FACILITY.  NOTWITHSTANDING ANY OTHER TERM OR PROVISION OF THIS AGREEMENT, THE CITY AGREES, ACCEPTS, ACKNOWLEDGES AND COVENANTS FOR ITSELF, ITS SUCCESSORS OR ASSIGNS, (i) THAT FPRP HAS APPOINTED AGENT AS ITS SOLE AND EXCLUSIVE DEVELOPMENT AND CONSTRUCTION MANAGER WITH RESPECT TO THIS AGREEMENT AND AGENT HAS ACCEPTED SUCH APPOINTMENT, AND (ii) THAT IT SHALL NOT SEEK OR CLAIM RECOURSE AGAINST OR PAYMENT FROM FPRP FOR ANY REASON WITH RESPECT TO OR ARISING FROM OR RELATED TO AGENT’S ACTIONS OR OMISSIONS WITH RESPECT TO THIS AGREEMENT, OTHER THAN FOR THE PAYMENT OF AMOUNTS DUE HEREUNDER.</w:t>
      </w:r>
    </w:p>
    <w:p>
      <w:pPr>
        <w:pStyle w:val="Heading4"/>
        <w:ind w:hanging="0" w:start="0"/>
        <w:rPr/>
      </w:pPr>
      <w:r>
        <w:rPr/>
        <w:t>Without limiting the generality of the foregoing, the City acknowledges and agrees that, until such time as it receives written notice from FPRP or Agent that Agent’s rights and obligations as FPRP’s agent hereunder have been terminated, it shall deal only with Agent with respect to the subject matter of this Agreement (including, without limitation, entering into any amendments, modifications or supplements of or to this Agreement), and in no event, without the prior written consent of Agent, shall the City enter into any contract, undertaking or other agreement with FPRP (other than the Development Agreements), amend, modify or supplement this Agreement or take directions from or give instructions to FPRP (other than ministerial communications relating to the payment of the amounts described herein), in each case with respect to the subject matter of this Agreement.</w:t>
      </w:r>
      <w:r>
        <w:br w:type="page"/>
      </w:r>
    </w:p>
    <w:p>
      <w:pPr>
        <w:pStyle w:val="BodyText"/>
        <w:autoSpaceDE w:val="false"/>
        <w:spacing w:before="0" w:after="0"/>
        <w:rPr/>
      </w:pPr>
      <w:r>
        <w:rPr/>
        <w:tab/>
        <w:t xml:space="preserve">IN WITNESS WHEREOF, the parties have duly executed this instrument as of the day and year above written. </w:t>
      </w:r>
    </w:p>
    <w:p>
      <w:pPr>
        <w:pStyle w:val="Signature"/>
        <w:rPr/>
      </w:pPr>
      <w:r>
        <w:rPr/>
      </w:r>
    </w:p>
    <w:p>
      <w:pPr>
        <w:pStyle w:val="Signature"/>
        <w:keepNext w:val="false"/>
        <w:keepLines w:val="false"/>
        <w:rPr>
          <w:b/>
          <w:bCs/>
        </w:rPr>
      </w:pPr>
      <w:r>
        <w:rPr>
          <w:b/>
          <w:bCs/>
        </w:rPr>
        <w:t>Lessee:</w:t>
      </w:r>
    </w:p>
    <w:p>
      <w:pPr>
        <w:pStyle w:val="Signature"/>
        <w:keepNext w:val="false"/>
        <w:keepLines w:val="false"/>
        <w:rPr>
          <w:b/>
          <w:bCs/>
        </w:rPr>
      </w:pPr>
      <w:r>
        <w:rPr>
          <w:b/>
          <w:bCs/>
        </w:rPr>
      </w:r>
    </w:p>
    <w:p>
      <w:pPr>
        <w:pStyle w:val="Signature"/>
        <w:keepNext w:val="false"/>
        <w:keepLines w:val="false"/>
        <w:jc w:val="both"/>
        <w:rPr/>
      </w:pPr>
      <w:r>
        <w:rPr>
          <w:rStyle w:val="Strong"/>
        </w:rPr>
        <w:t>FORT PIERCE REPOWERING PROJECT, LLC</w:t>
      </w:r>
    </w:p>
    <w:p>
      <w:pPr>
        <w:pStyle w:val="Signature"/>
        <w:keepNext w:val="false"/>
        <w:keepLines w:val="false"/>
        <w:rPr>
          <w:rStyle w:val="Strong"/>
        </w:rPr>
      </w:pPr>
      <w:r>
        <w:rPr/>
      </w:r>
    </w:p>
    <w:p>
      <w:pPr>
        <w:pStyle w:val="Signature"/>
        <w:keepNext w:val="false"/>
        <w:keepLines w:val="false"/>
        <w:rPr/>
      </w:pPr>
      <w:r>
        <w:rPr/>
        <w:t>By:</w:t>
        <w:tab/>
        <w:t>Enron North America Corp., as Agent</w:t>
      </w:r>
    </w:p>
    <w:p>
      <w:pPr>
        <w:pStyle w:val="Signature"/>
        <w:keepNext w:val="false"/>
        <w:keepLines w:val="false"/>
        <w:rPr/>
      </w:pPr>
      <w:r>
        <w:rPr/>
      </w:r>
    </w:p>
    <w:p>
      <w:pPr>
        <w:pStyle w:val="Signature"/>
        <w:keepNext w:val="false"/>
        <w:keepLines w:val="false"/>
        <w:rPr/>
      </w:pPr>
      <w:r>
        <w:rPr/>
        <w:tab/>
        <w:t xml:space="preserve">By:  </w:t>
      </w:r>
      <w:r>
        <w:rPr>
          <w:u w:val="single"/>
        </w:rPr>
        <w:tab/>
        <w:tab/>
        <w:tab/>
        <w:tab/>
        <w:tab/>
        <w:tab/>
      </w:r>
    </w:p>
    <w:p>
      <w:pPr>
        <w:pStyle w:val="Signature"/>
        <w:keepNext w:val="false"/>
        <w:keepLines w:val="false"/>
        <w:rPr/>
      </w:pPr>
      <w:r>
        <w:rPr/>
        <w:tab/>
        <w:t xml:space="preserve">Name:  </w:t>
      </w:r>
      <w:r>
        <w:rPr>
          <w:u w:val="single"/>
        </w:rPr>
        <w:tab/>
        <w:tab/>
        <w:tab/>
        <w:tab/>
        <w:tab/>
      </w:r>
    </w:p>
    <w:p>
      <w:pPr>
        <w:pStyle w:val="Signature"/>
        <w:keepNext w:val="false"/>
        <w:keepLines w:val="false"/>
        <w:rPr/>
      </w:pPr>
      <w:r>
        <w:rPr/>
        <w:tab/>
        <w:t xml:space="preserve">Title:  </w:t>
      </w:r>
      <w:r>
        <w:rPr>
          <w:u w:val="single"/>
        </w:rPr>
        <w:tab/>
        <w:tab/>
        <w:tab/>
        <w:tab/>
        <w:tab/>
        <w:tab/>
      </w:r>
    </w:p>
    <w:p>
      <w:pPr>
        <w:pStyle w:val="Signature"/>
        <w:keepNext w:val="false"/>
        <w:keepLines w:val="false"/>
        <w:rPr>
          <w:b/>
          <w:bCs/>
          <w:u w:val="single"/>
        </w:rPr>
      </w:pPr>
      <w:r>
        <w:rPr>
          <w:b/>
          <w:bCs/>
          <w:u w:val="single"/>
        </w:rPr>
      </w:r>
    </w:p>
    <w:p>
      <w:pPr>
        <w:pStyle w:val="Signature"/>
        <w:keepNext w:val="false"/>
        <w:keepLines w:val="false"/>
        <w:rPr>
          <w:b/>
          <w:bCs/>
        </w:rPr>
      </w:pPr>
      <w:r>
        <w:rPr>
          <w:b/>
          <w:bCs/>
        </w:rPr>
        <w:t>City:</w:t>
      </w:r>
    </w:p>
    <w:p>
      <w:pPr>
        <w:pStyle w:val="Signature"/>
        <w:keepNext w:val="false"/>
        <w:keepLines w:val="false"/>
        <w:jc w:val="both"/>
        <w:rPr>
          <w:b/>
          <w:bCs/>
        </w:rPr>
      </w:pPr>
      <w:r>
        <w:rPr>
          <w:b/>
          <w:bCs/>
        </w:rPr>
      </w:r>
    </w:p>
    <w:p>
      <w:pPr>
        <w:pStyle w:val="Signature"/>
        <w:keepNext w:val="false"/>
        <w:keepLines w:val="false"/>
        <w:jc w:val="both"/>
        <w:rPr/>
      </w:pPr>
      <w:r>
        <w:rPr>
          <w:rStyle w:val="Strong"/>
        </w:rPr>
        <w:t>CITY OF FORT PIERCE, Florida, a Florida municipality</w:t>
      </w:r>
    </w:p>
    <w:p>
      <w:pPr>
        <w:pStyle w:val="Signature"/>
        <w:keepNext w:val="false"/>
        <w:keepLines w:val="false"/>
        <w:rPr>
          <w:rStyle w:val="Strong"/>
        </w:rPr>
      </w:pPr>
      <w:r>
        <w:rPr/>
      </w:r>
    </w:p>
    <w:p>
      <w:pPr>
        <w:pStyle w:val="Signature"/>
        <w:keepNext w:val="false"/>
        <w:keepLines w:val="false"/>
        <w:rPr/>
      </w:pPr>
      <w:r>
        <w:rPr/>
        <w:t xml:space="preserve">By:  </w:t>
      </w:r>
      <w:r>
        <w:rPr>
          <w:u w:val="single"/>
        </w:rPr>
        <w:tab/>
        <w:tab/>
        <w:tab/>
        <w:tab/>
        <w:tab/>
        <w:tab/>
      </w:r>
    </w:p>
    <w:p>
      <w:pPr>
        <w:pStyle w:val="Signature"/>
        <w:keepNext w:val="false"/>
        <w:keepLines w:val="false"/>
        <w:rPr/>
      </w:pPr>
      <w:r>
        <w:rPr/>
        <w:t xml:space="preserve">Name:  </w:t>
      </w:r>
      <w:r>
        <w:rPr>
          <w:u w:val="single"/>
        </w:rPr>
        <w:tab/>
        <w:tab/>
        <w:tab/>
        <w:tab/>
        <w:tab/>
      </w:r>
    </w:p>
    <w:p>
      <w:pPr>
        <w:pStyle w:val="Signature"/>
        <w:keepNext w:val="false"/>
        <w:keepLines w:val="false"/>
        <w:rPr/>
      </w:pPr>
      <w:r>
        <w:rPr/>
        <w:t xml:space="preserve">Title:  </w:t>
      </w:r>
      <w:r>
        <w:rPr>
          <w:u w:val="single"/>
        </w:rPr>
        <w:tab/>
        <w:tab/>
        <w:tab/>
        <w:tab/>
        <w:tab/>
        <w:tab/>
      </w:r>
    </w:p>
    <w:p>
      <w:pPr>
        <w:pStyle w:val="Signature"/>
        <w:keepNext w:val="false"/>
        <w:keepLines w:val="false"/>
        <w:rPr/>
      </w:pPr>
      <w:r>
        <w:rPr/>
      </w:r>
    </w:p>
    <w:p>
      <w:pPr>
        <w:pStyle w:val="BodyText2"/>
        <w:rPr/>
      </w:pPr>
      <w:r>
        <w:rPr/>
      </w:r>
    </w:p>
    <w:sectPr>
      <w:headerReference w:type="default" r:id="rId2"/>
      <w:footerReference w:type="default" r:id="rId3"/>
      <w:type w:val="nextPage"/>
      <w:pgSz w:w="12240" w:h="15840"/>
      <w:pgMar w:left="1800" w:right="1800" w:gutter="0" w:header="720" w:top="1440" w:footer="108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before="120" w:after="0"/>
      <w:rPr>
        <w:rStyle w:val="PageNumber"/>
        <w:sz w:val="12"/>
      </w:rPr>
    </w:pPr>
    <w:r>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HOU:654161.2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HOU:654161.2 </w:t>
                    </w:r>
                    <w:r>
                      <w:rPr>
                        <w:rStyle w:val="DocID"/>
                        <w:sz w:val="16"/>
                      </w:rPr>
                      <w:fldChar w:fldCharType="end"/>
                    </w:r>
                  </w:p>
                </w:txbxContent>
              </v:textbox>
              <w10:wrap type="square"/>
            </v:rect>
          </w:pict>
        </mc:Fallback>
      </mc:AlternateContent>
    </w:r>
  </w:p>
  <w:p>
    <w:pPr>
      <w:pStyle w:val="Normal"/>
      <w:tabs>
        <w:tab w:val="clear" w:pos="720"/>
        <w:tab w:val="center" w:pos="4320" w:leader="none"/>
        <w:tab w:val="right" w:pos="8640" w:leader="none"/>
      </w:tabs>
      <w:jc w:val="center"/>
      <w:rPr>
        <w:rStyle w:val="PageNumber"/>
      </w:rPr>
    </w:pPr>
    <w:r>
      <w:rPr/>
    </w:r>
  </w:p>
  <w:p>
    <w:pPr>
      <w:pStyle w:val="Normal"/>
      <w:tabs>
        <w:tab w:val="clear" w:pos="720"/>
        <w:tab w:val="center" w:pos="4320" w:leader="none"/>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rPr>
        <w:sz w:val="23"/>
        <w:szCs w:val="23"/>
      </w:rPr>
    </w:pPr>
    <w:r>
      <w:rPr>
        <w:sz w:val="23"/>
        <w:szCs w:val="23"/>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upperLetter"/>
      <w:lvlText w:val="%2."/>
      <w:lvlJc w:val="start"/>
      <w:pPr>
        <w:tabs>
          <w:tab w:val="num" w:pos="1080"/>
        </w:tabs>
        <w:ind w:start="0" w:firstLine="720"/>
      </w:pPr>
      <w:rPr/>
    </w:lvl>
    <w:lvl w:ilvl="2">
      <w:start w:val="1"/>
      <w:pStyle w:val="Heading3"/>
      <w:numFmt w:val="decimal"/>
      <w:lvlText w:val="%3."/>
      <w:lvlJc w:val="start"/>
      <w:pPr>
        <w:tabs>
          <w:tab w:val="num" w:pos="1080"/>
        </w:tabs>
        <w:ind w:start="0" w:firstLine="720"/>
      </w:pPr>
      <w:rPr/>
    </w:lvl>
    <w:lvl w:ilvl="3">
      <w:start w:val="1"/>
      <w:pStyle w:val="Heading4"/>
      <w:numFmt w:val="lowerLetter"/>
      <w:lvlText w:val="(%4)"/>
      <w:lvlJc w:val="start"/>
      <w:pPr>
        <w:tabs>
          <w:tab w:val="num" w:pos="1800"/>
        </w:tabs>
        <w:ind w:start="720" w:firstLine="720"/>
      </w:pPr>
      <w:rPr/>
    </w:lvl>
    <w:lvl w:ilvl="4">
      <w:start w:val="1"/>
      <w:pStyle w:val="Heading5"/>
      <w:numFmt w:val="decimal"/>
      <w:lvlText w:val="(%5)"/>
      <w:lvlJc w:val="start"/>
      <w:pPr>
        <w:tabs>
          <w:tab w:val="num" w:pos="2520"/>
        </w:tabs>
        <w:ind w:start="1440" w:firstLine="720"/>
      </w:pPr>
      <w:rPr/>
    </w:lvl>
    <w:lvl w:ilvl="5">
      <w:start w:val="1"/>
      <w:pStyle w:val="Heading6"/>
      <w:numFmt w:val="upperLetter"/>
      <w:lvlText w:val="(%6)"/>
      <w:lvlJc w:val="start"/>
      <w:pPr>
        <w:tabs>
          <w:tab w:val="num" w:pos="324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2z8">
    <w:name w:val="WW8Num12z8"/>
    <w:qFormat/>
    <w:rPr>
      <w:rFonts w:ascii="Symbol" w:hAnsi="Symbol" w:cs="Symbol"/>
      <w:color w:val="000000"/>
      <w:sz w:val="28"/>
    </w:rPr>
  </w:style>
  <w:style w:type="character" w:styleId="WW8Num13z0">
    <w:name w:val="WW8Num13z0"/>
    <w:qFormat/>
    <w:rPr/>
  </w:style>
  <w:style w:type="character" w:styleId="WW8Num15z0">
    <w:name w:val="WW8Num15z0"/>
    <w:qFormat/>
    <w:rPr>
      <w:rFonts w:ascii="Symbol" w:hAnsi="Symbol"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Times New Roman"/>
    </w:rPr>
  </w:style>
  <w:style w:type="character" w:styleId="DefaultParagraphFont">
    <w:name w:val="Default Paragraph Font"/>
    <w:qFormat/>
    <w:rPr/>
  </w:style>
  <w:style w:type="character" w:styleId="DocID">
    <w:name w:val="DocID"/>
    <w:basedOn w:val="DefaultParagraphFont"/>
    <w:qFormat/>
    <w:rPr>
      <w:sz w:val="12"/>
    </w:rPr>
  </w:style>
  <w:style w:type="character" w:styleId="PageNumber">
    <w:name w:val="page number"/>
    <w:basedOn w:val="DefaultParagraphFont"/>
    <w:rPr>
      <w:sz w:val="20"/>
      <w:szCs w:val="20"/>
    </w:rPr>
  </w:style>
  <w:style w:type="character" w:styleId="Strong">
    <w:name w:val="Strong"/>
    <w:basedOn w:val="DefaultParagraphFont"/>
    <w:qFormat/>
    <w:rPr>
      <w:b/>
      <w:bCs/>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next w:val="Normal"/>
    <w:qFormat/>
    <w:pPr>
      <w:spacing w:before="0" w:after="240"/>
      <w:jc w:val="center"/>
    </w:pPr>
    <w:rPr>
      <w:rFonts w:ascii="Times New Roman Bold" w:hAnsi="Times New Roman Bold" w:cs="Times New Roman Bold"/>
      <w:b/>
      <w:bCs/>
      <w:u w:val="single"/>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36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CommentText">
    <w:name w:val="Comment Text"/>
    <w:basedOn w:val="Normal"/>
    <w:qFormat/>
    <w:pPr/>
    <w:rPr>
      <w:sz w:val="20"/>
    </w:rPr>
  </w:style>
  <w:style w:type="paragraph" w:styleId="BodyTextSS">
    <w:name w:val="Body Text SS"/>
    <w:basedOn w:val="BodyText2"/>
    <w:qFormat/>
    <w:pPr>
      <w:spacing w:lineRule="auto" w:line="24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2001-05-11T15:10:00Z</dcterms:created>
  <dc:creator>A&amp;K</dc:creator>
  <dc:description/>
  <dc:language>en-CA</dc:language>
  <cp:lastModifiedBy>A&amp;K</cp:lastModifiedBy>
  <cp:lastPrinted>2001-05-11T12:40:00Z</cp:lastPrinted>
  <dcterms:modified xsi:type="dcterms:W3CDTF">2001-05-11T15:10:00Z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HOU:654161.2 </vt:lpwstr>
  </property>
</Properties>
</file>