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eading"/>
        <w:numPr>
          <w:ilvl w:val="0"/>
          <w:numId w:val="0"/>
        </w:numPr>
        <w:ind w:hanging="0" w:start="0"/>
        <w:rPr>
          <w:rFonts w:cs="Arial"/>
        </w:rPr>
      </w:pPr>
      <w:r>
        <w:rPr>
          <w:rFonts w:cs="Arial"/>
        </w:rPr>
      </w:r>
    </w:p>
    <w:p>
      <w:pPr>
        <w:pStyle w:val="Heading"/>
        <w:rPr>
          <w:rFonts w:cs="Arial"/>
        </w:rPr>
      </w:pPr>
      <w:r>
        <w:rPr>
          <w:rFonts w:cs="Arial"/>
        </w:rPr>
        <w:t>BEFORE THE PUBLIC UTILITIES COMMISSION</w:t>
      </w:r>
    </w:p>
    <w:p>
      <w:pPr>
        <w:pStyle w:val="Subtitle"/>
        <w:rPr>
          <w:rFonts w:cs="Arial"/>
        </w:rPr>
      </w:pPr>
      <w:r>
        <w:rPr>
          <w:rFonts w:cs="Arial"/>
        </w:rPr>
        <w:t>OF THE STATE OF CALIFORNIA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798" w:type="dxa"/>
            <w:tcBorders>
              <w:start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I.99-07-003</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REPLY BRIEF OF AERA ENERGY LLC</w:t>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t>Evelyn Kahl Elsesser, Esq.</w:t>
      </w:r>
    </w:p>
    <w:p>
      <w:pPr>
        <w:pStyle w:val="Normal"/>
        <w:jc w:val="end"/>
        <w:rPr>
          <w:rFonts w:ascii="Arial" w:hAnsi="Arial" w:cs="Arial"/>
        </w:rPr>
      </w:pPr>
      <w:r>
        <w:rPr>
          <w:rFonts w:cs="Arial" w:ascii="Arial" w:hAnsi="Arial"/>
        </w:rPr>
        <w:t>Christine H. Jun, Esq.</w:t>
      </w:r>
    </w:p>
    <w:p>
      <w:pPr>
        <w:pStyle w:val="Normal"/>
        <w:jc w:val="end"/>
        <w:rPr>
          <w:rFonts w:ascii="Arial" w:hAnsi="Arial" w:cs="Arial"/>
        </w:rPr>
      </w:pPr>
      <w:r>
        <w:rPr>
          <w:rFonts w:cs="Arial" w:ascii="Arial" w:hAnsi="Arial"/>
        </w:rPr>
        <w:t>Alcantar &amp; Elsesser LLP</w:t>
      </w:r>
    </w:p>
    <w:p>
      <w:pPr>
        <w:pStyle w:val="Normal"/>
        <w:jc w:val="end"/>
        <w:rPr>
          <w:rFonts w:ascii="Arial" w:hAnsi="Arial" w:cs="Arial"/>
        </w:rPr>
      </w:pPr>
      <w:r>
        <w:rPr>
          <w:rFonts w:cs="Arial" w:ascii="Arial" w:hAnsi="Arial"/>
        </w:rPr>
        <w:t>One Embarcadero Center Suite 2420</w:t>
      </w:r>
    </w:p>
    <w:p>
      <w:pPr>
        <w:pStyle w:val="Normal"/>
        <w:jc w:val="end"/>
        <w:rPr>
          <w:rFonts w:ascii="Arial" w:hAnsi="Arial" w:cs="Arial"/>
        </w:rPr>
      </w:pPr>
      <w:r>
        <w:rPr>
          <w:rFonts w:cs="Arial" w:ascii="Arial" w:hAnsi="Arial"/>
        </w:rPr>
        <w:t>San Francisco California  94111</w:t>
      </w:r>
    </w:p>
    <w:p>
      <w:pPr>
        <w:pStyle w:val="Normal"/>
        <w:jc w:val="end"/>
        <w:rPr>
          <w:rFonts w:ascii="Arial" w:hAnsi="Arial" w:cs="Arial"/>
        </w:rPr>
      </w:pPr>
      <w:r>
        <w:rPr>
          <w:rFonts w:cs="Arial" w:ascii="Arial" w:hAnsi="Arial"/>
        </w:rPr>
        <w:t>415.421.4143 – office</w:t>
      </w:r>
    </w:p>
    <w:p>
      <w:pPr>
        <w:pStyle w:val="Normal"/>
        <w:jc w:val="end"/>
        <w:rPr>
          <w:rFonts w:ascii="Arial" w:hAnsi="Arial" w:cs="Arial"/>
        </w:rPr>
      </w:pPr>
      <w:r>
        <w:rPr>
          <w:rFonts w:cs="Arial" w:ascii="Arial" w:hAnsi="Arial"/>
        </w:rPr>
        <w:t>415.989.1263 – fax</w:t>
      </w:r>
    </w:p>
    <w:p>
      <w:pPr>
        <w:pStyle w:val="Normal"/>
        <w:jc w:val="end"/>
        <w:rPr>
          <w:rFonts w:ascii="Arial" w:hAnsi="Arial" w:cs="Arial"/>
        </w:rPr>
      </w:pPr>
      <w:hyperlink r:id="rId2">
        <w:r>
          <w:rPr>
            <w:rStyle w:val="Hyperlink"/>
            <w:rFonts w:cs="Arial" w:ascii="Arial" w:hAnsi="Arial"/>
          </w:rPr>
          <w:t>eke@aelaw.com</w:t>
        </w:r>
      </w:hyperlink>
    </w:p>
    <w:p>
      <w:pPr>
        <w:pStyle w:val="Normal"/>
        <w:jc w:val="end"/>
        <w:rPr>
          <w:rFonts w:ascii="Arial" w:hAnsi="Arial" w:cs="Arial"/>
        </w:rPr>
      </w:pPr>
      <w:hyperlink r:id="rId3">
        <w:r>
          <w:rPr>
            <w:rStyle w:val="Hyperlink"/>
            <w:rFonts w:cs="Arial" w:ascii="Arial" w:hAnsi="Arial"/>
          </w:rPr>
          <w:t>chj@aelaw.com</w:t>
        </w:r>
      </w:hyperlink>
    </w:p>
    <w:p>
      <w:pPr>
        <w:pStyle w:val="Normal"/>
        <w:tabs>
          <w:tab w:val="clear" w:pos="720"/>
          <w:tab w:val="left" w:pos="3960" w:leader="none"/>
          <w:tab w:val="right" w:pos="8460" w:leader="none"/>
        </w:tabs>
        <w:jc w:val="both"/>
        <w:rPr>
          <w:rFonts w:ascii="Arial" w:hAnsi="Arial" w:cs="Arial"/>
        </w:rPr>
      </w:pPr>
      <w:r>
        <w:rPr>
          <w:rFonts w:cs="Arial" w:ascii="Arial" w:hAnsi="Arial"/>
        </w:rPr>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t>Attorneys for Aera Energy LLC</w:t>
      </w:r>
    </w:p>
    <w:p>
      <w:pPr>
        <w:pStyle w:val="Normal"/>
        <w:tabs>
          <w:tab w:val="clear" w:pos="720"/>
          <w:tab w:val="left" w:pos="3960" w:leader="none"/>
          <w:tab w:val="right" w:pos="9000" w:leader="none"/>
        </w:tabs>
        <w:ind w:start="4140" w:end="0"/>
        <w:jc w:val="end"/>
        <w:rPr>
          <w:rFonts w:ascii="Arial" w:hAnsi="Arial" w:cs="Arial"/>
        </w:rPr>
      </w:pPr>
      <w:r>
        <w:rPr>
          <w:rFonts w:cs="Arial" w:ascii="Arial" w:hAnsi="Arial"/>
        </w:rPr>
      </w:r>
    </w:p>
    <w:p>
      <w:pPr>
        <w:pStyle w:val="Normal"/>
        <w:tabs>
          <w:tab w:val="clear" w:pos="720"/>
          <w:tab w:val="left" w:pos="3960" w:leader="none"/>
          <w:tab w:val="right" w:pos="9000" w:leader="none"/>
        </w:tabs>
        <w:ind w:hanging="4140" w:start="4140" w:end="0"/>
        <w:rPr>
          <w:rFonts w:ascii="Arial" w:hAnsi="Arial" w:cs="Arial"/>
        </w:rPr>
      </w:pPr>
      <w:r>
        <w:rPr>
          <w:rFonts w:cs="Arial" w:ascii="Arial" w:hAnsi="Arial"/>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rFonts w:ascii="Arial" w:hAnsi="Arial" w:cs="Arial"/>
        </w:rPr>
      </w:pPr>
      <w:r>
        <w:rPr>
          <w:rFonts w:cs="Arial" w:ascii="Arial" w:hAnsi="Arial"/>
        </w:rPr>
        <w:t>Dated:  July 31, 2000</w:t>
      </w:r>
    </w:p>
    <w:p>
      <w:pPr>
        <w:pStyle w:val="Normal"/>
        <w:jc w:val="center"/>
        <w:rPr>
          <w:rFonts w:ascii="Arial" w:hAnsi="Arial" w:cs="Arial"/>
          <w:b/>
          <w:bCs/>
        </w:rPr>
      </w:pPr>
      <w:r>
        <w:rPr>
          <w:rFonts w:cs="Arial" w:ascii="Arial" w:hAnsi="Arial"/>
          <w:b/>
          <w:bCs/>
        </w:rPr>
        <w:t>BEFORE THE PUBLIC UTILITIES COMMISSION</w:t>
      </w:r>
    </w:p>
    <w:p>
      <w:pPr>
        <w:pStyle w:val="Subtitle"/>
        <w:rPr>
          <w:rFonts w:cs="Arial"/>
        </w:rPr>
      </w:pPr>
      <w:r>
        <w:rPr>
          <w:rFonts w:cs="Arial"/>
          <w:bCs/>
        </w:rPr>
        <w:t>OF THE STATE OF CALIFORNIA</w:t>
      </w:r>
    </w:p>
    <w:p>
      <w:pPr>
        <w:pStyle w:val="Normal"/>
        <w:rPr>
          <w:rFonts w:ascii="Arial" w:hAnsi="Arial" w:cs="Arial"/>
        </w:rPr>
      </w:pPr>
      <w:r>
        <w:rPr>
          <w:rFonts w:cs="Arial" w:ascii="Arial" w:hAnsi="Arial"/>
        </w:rPr>
      </w:r>
    </w:p>
    <w:p>
      <w:pPr>
        <w:pStyle w:val="Pleading"/>
        <w:numPr>
          <w:ilvl w:val="0"/>
          <w:numId w:val="0"/>
        </w:numPr>
        <w:ind w:hanging="0" w:start="0"/>
        <w:rPr>
          <w:rFonts w:ascii="Arial" w:hAnsi="Arial" w:cs="Arial"/>
        </w:rPr>
      </w:pPr>
      <w:r>
        <w:rPr>
          <w:rFonts w:cs="Arial"/>
        </w:rPr>
      </w:r>
    </w:p>
    <w:tbl>
      <w:tblPr>
        <w:tblW w:w="8856" w:type="dxa"/>
        <w:jc w:val="start"/>
        <w:tblInd w:w="0" w:type="dxa"/>
        <w:tblLayout w:type="fixed"/>
        <w:tblCellMar>
          <w:top w:w="0" w:type="dxa"/>
          <w:start w:w="108" w:type="dxa"/>
          <w:bottom w:w="0" w:type="dxa"/>
          <w:end w:w="108" w:type="dxa"/>
        </w:tblCellMar>
      </w:tblPr>
      <w:tblGrid>
        <w:gridCol w:w="5058"/>
        <w:gridCol w:w="3798"/>
      </w:tblGrid>
      <w:tr>
        <w:trPr/>
        <w:tc>
          <w:tcPr>
            <w:tcW w:w="5058" w:type="dxa"/>
            <w:tcBorders>
              <w:top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798" w:type="dxa"/>
            <w:tcBorders>
              <w:start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I.99-07-003</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rFonts w:cs="Arial"/>
        </w:rPr>
      </w:pPr>
      <w:r>
        <w:rPr>
          <w:rFonts w:cs="Arial"/>
        </w:rPr>
        <w:t>REPLY BRIEF OF AERA ENERGY LLC</w:t>
      </w:r>
    </w:p>
    <w:p>
      <w:pPr>
        <w:pStyle w:val="Heading"/>
        <w:rPr>
          <w:rFonts w:cs="Arial"/>
        </w:rPr>
      </w:pPr>
      <w:r>
        <w:rPr>
          <w:rFonts w:cs="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rPr/>
      </w:pPr>
      <w:r>
        <w:rPr/>
        <w:t xml:space="preserve">I.  </w:t>
        <w:tab/>
        <w:t>INTRODUCTION</w:t>
      </w:r>
    </w:p>
    <w:p>
      <w:pPr>
        <w:pStyle w:val="Normal"/>
        <w:rPr>
          <w:rFonts w:ascii="Arial" w:hAnsi="Arial" w:cs="Arial"/>
        </w:rPr>
      </w:pPr>
      <w:r>
        <w:rPr>
          <w:rFonts w:cs="Arial" w:ascii="Arial" w:hAnsi="Arial"/>
        </w:rPr>
      </w:r>
    </w:p>
    <w:p>
      <w:pPr>
        <w:pStyle w:val="Normal"/>
        <w:spacing w:lineRule="auto" w:line="480"/>
        <w:ind w:firstLine="720" w:end="0"/>
        <w:rPr>
          <w:rFonts w:ascii="Arial" w:hAnsi="Arial" w:cs="Arial"/>
        </w:rPr>
      </w:pPr>
      <w:r>
        <w:rPr>
          <w:rFonts w:cs="Arial" w:ascii="Arial" w:hAnsi="Arial"/>
        </w:rPr>
        <w:t>Pursuant to Rule 75 of the Rules of Practice and Procedure of the California Public Utilities Commission (“CPUC” or “Commission”), Aera Energy LLC (“Aera”) submits this Reply Brief in response to a proposal concerning existing long-term transportation contracts that was contained in the Opening Brief of Southern California Gas Company (“SoCalGas”) and San Diego Gas &amp; Electric Company (“SDG&amp;E”) in the above-captioned proceeding.  Aera continues to urge the Commission to refrain from expanding the scope of this broad policy-based investigation to include consideration of specific negotiated contracts that may be affected by the operation of the Comprehensive Settlement (“CS”) filed in this proceeding.  Specifically, Aera urges the Commission to reject the vague and unsupported “proposal” offered by SoCalGas in its opening brief.</w:t>
      </w:r>
    </w:p>
    <w:p>
      <w:pPr>
        <w:pStyle w:val="Normal"/>
        <w:spacing w:lineRule="auto" w:line="480"/>
        <w:rPr>
          <w:rFonts w:ascii="Arial" w:hAnsi="Arial" w:cs="Arial"/>
        </w:rPr>
      </w:pPr>
      <w:r>
        <w:rPr>
          <w:rFonts w:cs="Arial" w:ascii="Arial" w:hAnsi="Arial"/>
        </w:rPr>
      </w:r>
    </w:p>
    <w:p>
      <w:pPr>
        <w:pStyle w:val="Heading1"/>
        <w:spacing w:lineRule="auto" w:line="480"/>
        <w:rPr/>
      </w:pPr>
      <w:r>
        <w:rPr/>
        <w:t>II.</w:t>
        <w:tab/>
        <w:t>DISCUSSION</w:t>
      </w:r>
    </w:p>
    <w:p>
      <w:pPr>
        <w:pStyle w:val="Normal"/>
        <w:spacing w:lineRule="auto" w:line="480"/>
        <w:rPr/>
      </w:pPr>
      <w:r>
        <w:rPr>
          <w:rFonts w:cs="Arial" w:ascii="Arial" w:hAnsi="Arial"/>
        </w:rPr>
        <w:tab/>
        <w:t>In their Opening Brief, SoCalGas and SDG&amp;E explain that Section 1.9 of Part I of the CS provides for the treatment of four long-term transportation contracts under which gas delivered at certain receipt points</w:t>
      </w:r>
      <w:r>
        <w:rPr>
          <w:rFonts w:cs="Arial" w:ascii="Arial" w:hAnsi="Arial"/>
          <w:i/>
          <w:iCs/>
        </w:rPr>
        <w:t xml:space="preserve"> “shall have the right to elect backbone transmission rights at those points prior to the open season sufficient to preserve the benefit of their contract.”</w:t>
      </w:r>
      <w:r>
        <w:rPr>
          <w:rStyle w:val="FootnoteCharacters"/>
          <w:rFonts w:cs="Arial" w:ascii="Arial" w:hAnsi="Arial"/>
        </w:rPr>
        <w:t xml:space="preserve"> </w:t>
      </w:r>
      <w:r>
        <w:rPr>
          <w:rStyle w:val="FootnoteCharacters"/>
          <w:rStyle w:val="FootnoteReference"/>
          <w:rFonts w:cs="Arial" w:ascii="Arial" w:hAnsi="Arial"/>
        </w:rPr>
        <w:footnoteReference w:id="2"/>
      </w:r>
      <w:r>
        <w:rPr>
          <w:rFonts w:cs="Arial" w:ascii="Arial" w:hAnsi="Arial"/>
        </w:rPr>
        <w:t xml:space="preserve">  (Opening Brief of SoCalGas and SDG&amp;E, July 10, 2000, p. 17.)  It then makes a cursory proposal for customers under other existing long-term transportation contracts.  </w:t>
      </w:r>
    </w:p>
    <w:p>
      <w:pPr>
        <w:pStyle w:val="Normal"/>
        <w:ind w:start="1440" w:end="1440"/>
        <w:jc w:val="both"/>
        <w:rPr>
          <w:rFonts w:ascii="Arial" w:hAnsi="Arial" w:cs="Arial"/>
          <w:i/>
          <w:i/>
          <w:iCs/>
        </w:rPr>
      </w:pPr>
      <w:r>
        <w:rPr>
          <w:rFonts w:cs="Arial" w:ascii="Arial" w:hAnsi="Arial"/>
          <w:i/>
          <w:iCs/>
        </w:rPr>
        <w:t>For other existing long-term transportation contracts, SoCalGas and SDG&amp;E believe the best approach consistent with the Comprehensive Settlement is to provide customers under these contracts with a credit against their contract rate for unbundled backbone transmission, and then to allow them to participate in the open seasons and other markets in exactly the same way as other noncore end-use customers</w:t>
      </w:r>
    </w:p>
    <w:p>
      <w:pPr>
        <w:pStyle w:val="Normal"/>
        <w:ind w:start="1728" w:end="1728"/>
        <w:jc w:val="both"/>
        <w:rPr>
          <w:rFonts w:ascii="Arial" w:hAnsi="Arial" w:cs="Arial"/>
          <w:i/>
          <w:i/>
          <w:iCs/>
        </w:rPr>
      </w:pPr>
      <w:r>
        <w:rPr>
          <w:rFonts w:cs="Arial" w:ascii="Arial" w:hAnsi="Arial"/>
          <w:i/>
          <w:iCs/>
        </w:rPr>
        <w:t>.</w:t>
      </w:r>
    </w:p>
    <w:p>
      <w:pPr>
        <w:pStyle w:val="Normal"/>
        <w:spacing w:lineRule="auto" w:line="480"/>
        <w:rPr/>
      </w:pPr>
      <w:r>
        <w:rPr>
          <w:rFonts w:cs="Arial" w:ascii="Arial" w:hAnsi="Arial"/>
        </w:rPr>
        <w:t>(</w:t>
      </w:r>
      <w:r>
        <w:rPr>
          <w:rFonts w:cs="Arial" w:ascii="Arial" w:hAnsi="Arial"/>
          <w:i/>
          <w:iCs/>
        </w:rPr>
        <w:t>Id</w:t>
      </w:r>
      <w:r>
        <w:rPr>
          <w:rFonts w:cs="Arial" w:ascii="Arial" w:hAnsi="Arial"/>
        </w:rPr>
        <w:t xml:space="preserve">.)  </w:t>
      </w:r>
    </w:p>
    <w:p>
      <w:pPr>
        <w:pStyle w:val="Normal"/>
        <w:spacing w:lineRule="auto" w:line="480"/>
        <w:rPr/>
      </w:pPr>
      <w:r>
        <w:rPr>
          <w:rFonts w:cs="Arial" w:ascii="Arial" w:hAnsi="Arial"/>
        </w:rPr>
        <w:tab/>
        <w:t xml:space="preserve">This proposal for </w:t>
      </w:r>
      <w:r>
        <w:rPr>
          <w:rFonts w:cs="Arial" w:ascii="Arial" w:hAnsi="Arial"/>
          <w:i/>
          <w:iCs/>
        </w:rPr>
        <w:t>“other existing long-term transportation contracts”</w:t>
      </w:r>
      <w:r>
        <w:rPr>
          <w:rFonts w:cs="Arial" w:ascii="Arial" w:hAnsi="Arial"/>
        </w:rPr>
        <w:t xml:space="preserve"> is problematic for two reasons.  First, it is too vague to warrant serious consideration by the Commission at this point in the proceeding.  Second, the proposal may contravene the express dispute resolution and remedies provisions of some negotiated contracts.  </w:t>
      </w:r>
    </w:p>
    <w:p>
      <w:pPr>
        <w:pStyle w:val="Normal"/>
        <w:numPr>
          <w:ilvl w:val="0"/>
          <w:numId w:val="2"/>
        </w:numPr>
        <w:rPr>
          <w:rFonts w:ascii="Arial" w:hAnsi="Arial" w:cs="Arial"/>
          <w:b/>
          <w:bCs/>
          <w:smallCaps/>
        </w:rPr>
      </w:pPr>
      <w:r>
        <w:rPr>
          <w:rFonts w:cs="Arial" w:ascii="Arial" w:hAnsi="Arial"/>
          <w:b/>
          <w:bCs/>
          <w:smallCaps/>
        </w:rPr>
        <w:t>The Terms of the SoCalGas/SDG&amp;E Proposal Are Too Vague and Ambiguous to Instruct the Commission On Any Particular Course of Action.</w:t>
      </w:r>
    </w:p>
    <w:p>
      <w:pPr>
        <w:pStyle w:val="Normal"/>
        <w:rPr>
          <w:rFonts w:ascii="Arial" w:hAnsi="Arial" w:cs="Arial"/>
          <w:b/>
          <w:bCs/>
          <w:smallCaps/>
        </w:rPr>
      </w:pPr>
      <w:r>
        <w:rPr>
          <w:rFonts w:cs="Arial" w:ascii="Arial" w:hAnsi="Arial"/>
          <w:b/>
          <w:bCs/>
          <w:smallCaps/>
        </w:rPr>
      </w:r>
    </w:p>
    <w:p>
      <w:pPr>
        <w:pStyle w:val="Normal"/>
        <w:spacing w:lineRule="auto" w:line="480"/>
        <w:ind w:firstLine="720" w:end="0"/>
        <w:rPr>
          <w:rFonts w:ascii="Arial" w:hAnsi="Arial" w:cs="Arial"/>
        </w:rPr>
      </w:pPr>
      <w:r>
        <w:rPr>
          <w:rFonts w:cs="Arial" w:ascii="Arial" w:hAnsi="Arial"/>
        </w:rPr>
        <w:t xml:space="preserve">The SoCalGas/SDG&amp;E proposal is too vague to instruct the Commission on the treatment of existing transportation contracts that themselves contain very specific terms.  The proposal is overly ambiguous to warrant serious consideration by the Commission at this advanced stage in the proceeding in two notable respects.  </w:t>
      </w:r>
    </w:p>
    <w:p>
      <w:pPr>
        <w:pStyle w:val="Normal"/>
        <w:spacing w:lineRule="auto" w:line="480"/>
        <w:ind w:firstLine="720" w:end="0"/>
        <w:rPr>
          <w:rFonts w:ascii="Arial" w:hAnsi="Arial" w:cs="Arial"/>
        </w:rPr>
      </w:pPr>
      <w:r>
        <w:rPr>
          <w:rFonts w:cs="Arial" w:ascii="Arial" w:hAnsi="Arial"/>
        </w:rPr>
        <w:t xml:space="preserve">First, the SoCalGas/SDG&amp;E proposal does not inform the Commission to which contracts it is referring.  SoCalGas and SDG&amp;E are asking the Commission to consider a particular course of action under the operation of the CS as it would relate to as yet unidentified contracts.  The Commission has never considered the termination or reformation of particular contracts without first clearly identifying the specific contracts, and it should not begin to do so here.  Second, the proposal does not explain how the credit will be determined.  The proposal fails to clarify whether the credit will be calculated through an Advice Letter process or through negotiation between the parties that originally negotiated these contracts.  </w:t>
      </w:r>
    </w:p>
    <w:p>
      <w:pPr>
        <w:pStyle w:val="Normal"/>
        <w:spacing w:lineRule="auto" w:line="480"/>
        <w:ind w:firstLine="720" w:end="0"/>
        <w:rPr>
          <w:rFonts w:ascii="Arial" w:hAnsi="Arial" w:cs="Arial"/>
        </w:rPr>
      </w:pPr>
      <w:r>
        <w:rPr>
          <w:rFonts w:cs="Arial" w:ascii="Arial" w:hAnsi="Arial"/>
        </w:rPr>
        <w:t xml:space="preserve">The Commission should not begin to consider the treatment of long-term contracts under the CS without first identifying the contracts or the terms of the proposal.  For the Commission to do so at this advanced stage in the proceeding, when the evidentiary hearings have closed, would be inappropriate.  Aera continues to urge the Commission not to expand the scope of this policy-based investigation to include consideration of the future operation of long-term transportation contracts, but that should it decide to, the Commission should direct parties to employ the dispute resolution procedures or remedies specified in individual contracts.  Only in the event that parties fail to resolve a dispute according to the specific dispute resolution and remedies provisions of their contracts should the Commission institute further proceedings.  </w:t>
      </w:r>
    </w:p>
    <w:p>
      <w:pPr>
        <w:pStyle w:val="BodyText"/>
        <w:numPr>
          <w:ilvl w:val="0"/>
          <w:numId w:val="2"/>
        </w:numPr>
        <w:rPr>
          <w:smallCaps/>
        </w:rPr>
      </w:pPr>
      <w:r>
        <w:rPr>
          <w:smallCaps/>
        </w:rPr>
        <w:t>The Commission Should Not Interpret a Cursory Proposal of One Party to Imply the Willingness of the Other Contracting Party to Ignore the Express Terms of the Negotiated Contract.</w:t>
      </w:r>
    </w:p>
    <w:p>
      <w:pPr>
        <w:pStyle w:val="Normal"/>
        <w:rPr>
          <w:rFonts w:ascii="Arial" w:hAnsi="Arial" w:cs="Arial"/>
          <w:smallCaps/>
        </w:rPr>
      </w:pPr>
      <w:r>
        <w:rPr>
          <w:rFonts w:cs="Arial" w:ascii="Arial" w:hAnsi="Arial"/>
          <w:smallCaps/>
        </w:rPr>
      </w:r>
    </w:p>
    <w:p>
      <w:pPr>
        <w:pStyle w:val="Normal"/>
        <w:spacing w:lineRule="auto" w:line="480"/>
        <w:ind w:firstLine="720" w:end="0"/>
        <w:rPr/>
      </w:pPr>
      <w:r>
        <w:rPr>
          <w:rFonts w:cs="Arial" w:ascii="Arial" w:hAnsi="Arial"/>
        </w:rPr>
        <w:t>Under their proposal, SoCalGas and SDG&amp;E are unilaterally asking the Commission to consider one  particular course of action for contracts that were negotiated between contracting parties.  The Commission should keep in mind, as it considers the SoCalGas/SDG&amp;E proposal, the facts that gave rise to the approval of some long-term transportation contracts, including contracts entered into by Aera or its predecessors-in-interest.  Aera explained in its Opening Brief that some contracts were authorized by the Commission pursuant to Decision (“D.”) 86-12-009 so that enhanced oil recovery (“EOR”) customers would continue to contribute to fixed costs in the ratepayer base.  (Opening Brief of Aera Energy LLC, July 10, 2000, pp. 3-4.)D.86-12-009 permitted SoCalGas to negotiate non-tariff rates, terms, and conditions with those EOR customers.  (</w:t>
      </w:r>
      <w:r>
        <w:rPr>
          <w:rFonts w:cs="Arial" w:ascii="Arial" w:hAnsi="Arial"/>
          <w:i/>
          <w:iCs/>
        </w:rPr>
        <w:t>Id.</w:t>
      </w:r>
      <w:r>
        <w:rPr>
          <w:rFonts w:cs="Arial" w:ascii="Arial" w:hAnsi="Arial"/>
        </w:rPr>
        <w:t xml:space="preserve">)  </w:t>
      </w:r>
    </w:p>
    <w:p>
      <w:pPr>
        <w:pStyle w:val="Normal"/>
        <w:spacing w:lineRule="auto" w:line="480"/>
        <w:ind w:firstLine="720" w:end="0"/>
        <w:rPr/>
      </w:pPr>
      <w:r>
        <w:rPr>
          <w:rFonts w:cs="Arial" w:ascii="Arial" w:hAnsi="Arial"/>
        </w:rPr>
        <w:t>At the same time, the Commission waived its otherwise applicable right under Section IX of General Order 96-A to modify EOR contracts during the terms of their operation.  (</w:t>
      </w:r>
      <w:r>
        <w:rPr>
          <w:rFonts w:cs="Arial" w:ascii="Arial" w:hAnsi="Arial"/>
          <w:i/>
          <w:iCs/>
        </w:rPr>
        <w:t>Id.</w:t>
      </w:r>
      <w:r>
        <w:rPr>
          <w:rFonts w:cs="Arial" w:ascii="Arial" w:hAnsi="Arial"/>
        </w:rPr>
        <w:t xml:space="preserve">)  This further underscores the propriety of the Commission instructing parties to these existing, long-term negotiated contracts to pursue negotiations and whatever remedies as they are prescribed in the terms of their contracts.  </w:t>
      </w:r>
    </w:p>
    <w:p>
      <w:pPr>
        <w:pStyle w:val="Normal"/>
        <w:spacing w:lineRule="auto" w:line="480"/>
        <w:ind w:firstLine="720" w:end="0"/>
        <w:rPr>
          <w:rFonts w:ascii="Arial" w:hAnsi="Arial" w:cs="Arial"/>
        </w:rPr>
      </w:pPr>
      <w:r>
        <w:rPr>
          <w:rFonts w:cs="Arial" w:ascii="Arial" w:hAnsi="Arial"/>
        </w:rPr>
        <w:t xml:space="preserve">As Aera has maintained throughout this proceeding, the proper course of action for addressing issues related to individually negotiated contracts lies in each contract’s specific provisions.  The parties should be directed to resolve any issues arising from action taken by this Commission in a manner consistent with the individual contract terms.  Only if the parties fail to resolve their differences according to the express terms of their contracts should the Commission invite further proceedings to address contract dispute or reformation issues.  </w:t>
      </w:r>
    </w:p>
    <w:p>
      <w:pPr>
        <w:pStyle w:val="Heading1"/>
        <w:rPr/>
      </w:pPr>
      <w:r>
        <w:rPr/>
        <w:t>III.</w:t>
        <w:tab/>
        <w:t>CONCLUSION</w:t>
      </w:r>
    </w:p>
    <w:p>
      <w:pPr>
        <w:pStyle w:val="Normal"/>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ab/>
        <w:t xml:space="preserve">For all of the reasons stated above and in its July 10, 2000 Opening Brief, Aera continues to urge the Commission not to expand the scope of this policy-based investigation to include consideration of the SoCalGas/SDG&amp;E proposal concerning existing long-term transportation contracts.  If, however, the Commission were to consider the treatment of existing long-term transportation contracts under the CS, Aera urges the Commission to first direct parties to those contracts to employ the dispute resolution procedures or remedies specified in their individually negotiated contracts.  The Commission should institute further proceedings to address the treatment of these contracts only if the specific terms of the contracts fail to lead to resolution.  </w:t>
      </w:r>
    </w:p>
    <w:p>
      <w:pPr>
        <w:pStyle w:val="Normal"/>
        <w:spacing w:lineRule="auto" w:line="480"/>
        <w:rPr>
          <w:rFonts w:ascii="Arial" w:hAnsi="Arial" w:cs="Arial"/>
        </w:rPr>
      </w:pPr>
      <w:r>
        <w:rPr>
          <w:rFonts w:cs="Arial" w:ascii="Arial" w:hAnsi="Arial"/>
        </w:rPr>
      </w:r>
    </w:p>
    <w:p>
      <w:pPr>
        <w:pStyle w:val="Normal"/>
        <w:rPr>
          <w:rFonts w:ascii="Arial" w:hAnsi="Arial" w:cs="Arial"/>
        </w:rPr>
      </w:pPr>
      <w:r>
        <w:rPr>
          <w:rFonts w:cs="Arial" w:ascii="Arial" w:hAnsi="Arial"/>
        </w:rPr>
        <w:t>Submitted by:</w:t>
      </w:r>
    </w:p>
    <w:p>
      <w:pPr>
        <w:pStyle w:val="Pleading"/>
        <w:numPr>
          <w:ilvl w:val="0"/>
          <w:numId w:val="0"/>
        </w:numPr>
        <w:ind w:hanging="0" w:start="720" w:end="0"/>
        <w:rPr>
          <w:rFonts w:ascii="Arial" w:hAnsi="Arial" w:cs="Arial"/>
        </w:rPr>
      </w:pPr>
      <w:r>
        <w:rPr>
          <w:rFonts w:cs="Arial"/>
        </w:rPr>
      </w:r>
    </w:p>
    <w:p>
      <w:pPr>
        <w:pStyle w:val="Pleading"/>
        <w:numPr>
          <w:ilvl w:val="0"/>
          <w:numId w:val="0"/>
        </w:numPr>
        <w:ind w:hanging="0" w:start="720" w:end="0"/>
        <w:rPr>
          <w:rFonts w:cs="Arial"/>
        </w:rPr>
      </w:pPr>
      <w:r>
        <w:rPr>
          <w:rFonts w:cs="Arial"/>
        </w:rPr>
      </w:r>
    </w:p>
    <w:p>
      <w:pPr>
        <w:pStyle w:val="Pleading"/>
        <w:numPr>
          <w:ilvl w:val="0"/>
          <w:numId w:val="0"/>
        </w:numPr>
        <w:ind w:hanging="0" w:start="720" w:end="0"/>
        <w:rPr/>
      </w:pPr>
      <w:r>
        <w:rPr>
          <w:rFonts w:cs="Arial"/>
        </w:rPr>
        <w:tab/>
        <w:tab/>
        <w:tab/>
        <w:tab/>
        <w:tab/>
      </w:r>
      <w:r>
        <w:rPr>
          <w:rFonts w:cs="Arial"/>
          <w:b/>
          <w:bCs/>
        </w:rPr>
        <w:t>Alcantar &amp; Elsesser, LLP</w:t>
      </w:r>
    </w:p>
    <w:p>
      <w:pPr>
        <w:pStyle w:val="Pleading"/>
        <w:numPr>
          <w:ilvl w:val="0"/>
          <w:numId w:val="0"/>
        </w:numPr>
        <w:ind w:hanging="0" w:start="720" w:end="0"/>
        <w:jc w:val="end"/>
        <w:rPr>
          <w:rFonts w:cs="Arial"/>
          <w:b/>
          <w:bCs/>
        </w:rPr>
      </w:pPr>
      <w:r>
        <w:rPr>
          <w:rFonts w:cs="Arial"/>
          <w:b/>
          <w:bCs/>
        </w:rPr>
      </w:r>
    </w:p>
    <w:p>
      <w:pPr>
        <w:pStyle w:val="Pleading"/>
        <w:numPr>
          <w:ilvl w:val="0"/>
          <w:numId w:val="0"/>
        </w:numPr>
        <w:ind w:hanging="0" w:start="720" w:end="0"/>
        <w:jc w:val="end"/>
        <w:rPr>
          <w:rFonts w:cs="Arial"/>
        </w:rPr>
      </w:pPr>
      <w:r>
        <w:rPr>
          <w:rFonts w:cs="Arial"/>
        </w:rPr>
      </w:r>
    </w:p>
    <w:p>
      <w:pPr>
        <w:pStyle w:val="Pleading"/>
        <w:numPr>
          <w:ilvl w:val="0"/>
          <w:numId w:val="0"/>
        </w:numPr>
        <w:ind w:firstLine="720" w:start="3600" w:end="0"/>
        <w:rPr>
          <w:rFonts w:cs="Arial"/>
        </w:rPr>
      </w:pPr>
      <w:r>
        <w:rPr>
          <w:rFonts w:cs="Arial"/>
        </w:rPr>
        <w:t>________________________________</w:t>
      </w:r>
    </w:p>
    <w:p>
      <w:pPr>
        <w:pStyle w:val="Pleading"/>
        <w:numPr>
          <w:ilvl w:val="0"/>
          <w:numId w:val="0"/>
        </w:numPr>
        <w:ind w:firstLine="720" w:start="3600" w:end="0"/>
        <w:rPr>
          <w:rFonts w:cs="Arial"/>
        </w:rPr>
      </w:pPr>
      <w:r>
        <w:rPr>
          <w:rFonts w:cs="Arial"/>
        </w:rPr>
        <w:t xml:space="preserve">Evelyn Kahl Elsesser </w:t>
      </w:r>
    </w:p>
    <w:p>
      <w:pPr>
        <w:pStyle w:val="Pleading"/>
        <w:numPr>
          <w:ilvl w:val="0"/>
          <w:numId w:val="0"/>
        </w:numPr>
        <w:ind w:firstLine="720" w:start="3600" w:end="0"/>
        <w:rPr>
          <w:rFonts w:cs="Arial"/>
        </w:rPr>
      </w:pPr>
      <w:r>
        <w:rPr>
          <w:rFonts w:cs="Arial"/>
        </w:rPr>
        <w:t>Christine H. Jun</w:t>
      </w:r>
    </w:p>
    <w:p>
      <w:pPr>
        <w:pStyle w:val="Pleading"/>
        <w:numPr>
          <w:ilvl w:val="0"/>
          <w:numId w:val="0"/>
        </w:numPr>
        <w:ind w:firstLine="720" w:start="3600" w:end="0"/>
        <w:rPr>
          <w:rFonts w:cs="Arial"/>
        </w:rPr>
      </w:pPr>
      <w:r>
        <w:rPr>
          <w:rFonts w:cs="Arial"/>
        </w:rPr>
        <w:t>Attorneys for Aera Energy LLC</w:t>
      </w:r>
    </w:p>
    <w:p>
      <w:pPr>
        <w:pStyle w:val="Pleading"/>
        <w:numPr>
          <w:ilvl w:val="0"/>
          <w:numId w:val="0"/>
        </w:numPr>
        <w:ind w:firstLine="720" w:start="3600" w:end="0"/>
        <w:rPr>
          <w:rFonts w:cs="Arial"/>
        </w:rPr>
      </w:pPr>
      <w:r>
        <w:rPr>
          <w:rFonts w:cs="Arial"/>
        </w:rPr>
      </w:r>
    </w:p>
    <w:p>
      <w:pPr>
        <w:pStyle w:val="Normal"/>
        <w:ind w:firstLine="720" w:start="3600" w:end="0"/>
        <w:rPr>
          <w:rFonts w:ascii="Arial" w:hAnsi="Arial" w:cs="Arial"/>
        </w:rPr>
      </w:pPr>
      <w:r>
        <w:rPr>
          <w:rFonts w:cs="Arial" w:ascii="Arial" w:hAnsi="Arial"/>
        </w:rPr>
        <w:t>One Embarcadero Center Suite 2420</w:t>
      </w:r>
    </w:p>
    <w:p>
      <w:pPr>
        <w:pStyle w:val="Normal"/>
        <w:ind w:firstLine="720" w:start="3600" w:end="0"/>
        <w:rPr>
          <w:rFonts w:ascii="Arial" w:hAnsi="Arial" w:cs="Arial"/>
        </w:rPr>
      </w:pPr>
      <w:r>
        <w:rPr>
          <w:rFonts w:cs="Arial" w:ascii="Arial" w:hAnsi="Arial"/>
        </w:rPr>
        <w:t>San Francisco California  94111</w:t>
      </w:r>
    </w:p>
    <w:p>
      <w:pPr>
        <w:pStyle w:val="Normal"/>
        <w:ind w:firstLine="720" w:start="3600" w:end="0"/>
        <w:rPr>
          <w:rFonts w:ascii="Arial" w:hAnsi="Arial" w:cs="Arial"/>
        </w:rPr>
      </w:pPr>
      <w:r>
        <w:rPr>
          <w:rFonts w:cs="Arial" w:ascii="Arial" w:hAnsi="Arial"/>
        </w:rPr>
        <w:t>415.421.4143 – office</w:t>
      </w:r>
    </w:p>
    <w:p>
      <w:pPr>
        <w:pStyle w:val="Normal"/>
        <w:ind w:firstLine="720" w:start="3600" w:end="0"/>
        <w:rPr>
          <w:rFonts w:ascii="Arial" w:hAnsi="Arial" w:cs="Arial"/>
        </w:rPr>
      </w:pPr>
      <w:r>
        <w:rPr>
          <w:rFonts w:cs="Arial" w:ascii="Arial" w:hAnsi="Arial"/>
        </w:rPr>
        <w:t>415.989.1263 – fax</w:t>
      </w:r>
    </w:p>
    <w:p>
      <w:pPr>
        <w:pStyle w:val="Pleading"/>
        <w:numPr>
          <w:ilvl w:val="0"/>
          <w:numId w:val="0"/>
        </w:numPr>
        <w:ind w:firstLine="720" w:start="3600" w:end="0"/>
        <w:rPr>
          <w:rFonts w:cs="Arial"/>
        </w:rPr>
      </w:pPr>
      <w:hyperlink r:id="rId8">
        <w:r>
          <w:rPr>
            <w:rStyle w:val="Hyperlink"/>
            <w:rFonts w:cs="Arial"/>
          </w:rPr>
          <w:t>eke@aelaw.com</w:t>
        </w:r>
      </w:hyperlink>
    </w:p>
    <w:p>
      <w:pPr>
        <w:pStyle w:val="Pleading"/>
        <w:numPr>
          <w:ilvl w:val="0"/>
          <w:numId w:val="0"/>
        </w:numPr>
        <w:ind w:firstLine="720" w:start="3600" w:end="0"/>
        <w:rPr>
          <w:rFonts w:cs="Arial"/>
        </w:rPr>
      </w:pPr>
      <w:hyperlink r:id="rId9">
        <w:r>
          <w:rPr>
            <w:rStyle w:val="Hyperlink"/>
            <w:rFonts w:cs="Arial"/>
          </w:rPr>
          <w:t>chj@aelaw.com</w:t>
        </w:r>
      </w:hyperlink>
    </w:p>
    <w:p>
      <w:pPr>
        <w:pStyle w:val="Pleading"/>
        <w:numPr>
          <w:ilvl w:val="0"/>
          <w:numId w:val="0"/>
        </w:numPr>
        <w:ind w:firstLine="720" w:start="3600" w:end="0"/>
        <w:rPr>
          <w:rFonts w:cs="Arial"/>
        </w:rPr>
      </w:pPr>
      <w:r>
        <w:rPr>
          <w:rFonts w:cs="Arial"/>
        </w:rPr>
      </w:r>
    </w:p>
    <w:p>
      <w:pPr>
        <w:pStyle w:val="Pleading"/>
        <w:numPr>
          <w:ilvl w:val="0"/>
          <w:numId w:val="0"/>
        </w:numPr>
        <w:ind w:firstLine="720" w:start="3600" w:end="0"/>
        <w:rPr>
          <w:rFonts w:cs="Arial"/>
        </w:rPr>
      </w:pPr>
      <w:r>
        <w:rPr>
          <w:rFonts w:cs="Arial"/>
        </w:rPr>
      </w:r>
    </w:p>
    <w:p>
      <w:pPr>
        <w:pStyle w:val="Normal"/>
        <w:rPr>
          <w:rFonts w:ascii="Arial" w:hAnsi="Arial" w:cs="Arial"/>
        </w:rPr>
      </w:pPr>
      <w:r>
        <w:rPr>
          <w:rFonts w:cs="Arial" w:ascii="Arial" w:hAnsi="Arial"/>
        </w:rPr>
        <w:t>July 31, 2000</w:t>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715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7155" cy="20955"/>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7.6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0</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5090"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These contracts are identified as the one concerning the former Edison Mandalay plant now held by a Reliant subsidiary, and three contracts held by industrial/cogeneration customers in the Oxnard area.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52"/>
      </w:rPr>
    </w:pPr>
    <w:r>
      <w:rPr>
        <w:b/>
        <w:bCs/>
        <w:i/>
        <w:iCs/>
        <w:sz w:val="5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iCs/>
        <w:sz w:val="52"/>
      </w:rPr>
    </w:pPr>
    <w:r>
      <w:rPr>
        <w:b/>
        <w:bCs/>
        <w:i/>
        <w:iCs/>
        <w:sz w:val="5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504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480"/>
        </w:tabs>
        <w:ind w:start="5760" w:hanging="0"/>
      </w:pPr>
      <w:r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upperRoman"/>
      <w:lvlText w:val="%1."/>
      <w:lvlJc w:val="start"/>
      <w:pPr>
        <w:tabs>
          <w:tab w:val="num" w:pos="720"/>
        </w:tabs>
        <w:ind w:start="0" w:hanging="0"/>
      </w:pPr>
      <w:rPr>
        <w:smallCaps w:val="false"/>
        <w:caps w:val="false"/>
        <w:outline w:val="false"/>
        <w:dstrike w:val="false"/>
        <w:strike w:val="false"/>
        <w:vertAlign w:val="baseline"/>
        <w:position w:val="0"/>
        <w:sz w:val="24"/>
        <w:sz w:val="24"/>
        <w:i w:val="false"/>
        <w:shadow w:val="false"/>
        <w:b/>
        <w:vanish w:val="false"/>
        <w:rFonts w:ascii="Arial" w:hAnsi="Arial" w:cs="Arial"/>
      </w:rPr>
    </w:lvl>
    <w:lvl w:ilvl="1">
      <w:start w:val="1"/>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numFmt w:val="lowerLetter"/>
      <w:lvlText w:val="%4"/>
      <w:lvlJc w:val="start"/>
      <w:pPr>
        <w:tabs>
          <w:tab w:val="num" w:pos="2520"/>
        </w:tabs>
        <w:ind w:start="2160" w:hanging="0"/>
      </w:pPr>
      <w:rPr/>
    </w:lvl>
    <w:lvl w:ilvl="4">
      <w:start w:val="1"/>
      <w:numFmt w:val="decimal"/>
      <w:lvlText w:val="%5"/>
      <w:lvlJc w:val="start"/>
      <w:pPr>
        <w:tabs>
          <w:tab w:val="num" w:pos="3240"/>
        </w:tabs>
        <w:ind w:start="2880" w:hanging="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504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480"/>
        </w:tabs>
        <w:ind w:start="5760" w:hanging="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outlineLvl w:val="0"/>
    </w:pPr>
    <w:rPr>
      <w:rFonts w:ascii="Arial" w:hAnsi="Arial" w:cs="Arial"/>
      <w:b/>
      <w:bC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2z0">
    <w:name w:val="WW8Num2z0"/>
    <w:qFormat/>
    <w:rPr/>
  </w:style>
  <w:style w:type="character" w:styleId="WW8Num3z0">
    <w:name w:val="WW8Num3z0"/>
    <w:qFormat/>
    <w:rPr>
      <w:rFonts w:ascii="Arial" w:hAnsi="Arial" w:cs="Arial"/>
      <w:b/>
      <w:i w:val="false"/>
      <w:caps w:val="false"/>
      <w:smallCaps w:val="false"/>
      <w:strike w:val="false"/>
      <w:dstrike w:val="false"/>
      <w:outline w:val="false"/>
      <w:shadow w:val="false"/>
      <w:vanish w:val="false"/>
      <w:position w:val="0"/>
      <w:sz w:val="24"/>
      <w:sz w:val="24"/>
      <w:vertAlign w:val="baseline"/>
    </w:rPr>
  </w:style>
  <w:style w:type="character" w:styleId="WW8Num3z1">
    <w:name w:val="WW8Num3z1"/>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Cs w:val="20"/>
    </w:rPr>
  </w:style>
  <w:style w:type="paragraph" w:styleId="BodyText">
    <w:name w:val="Body Text"/>
    <w:basedOn w:val="Normal"/>
    <w:pPr/>
    <w:rPr>
      <w:rFonts w:ascii="Arial" w:hAnsi="Arial" w:cs="Arial"/>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Subtitle">
    <w:name w:val="Subtitle"/>
    <w:basedOn w:val="Normal"/>
    <w:next w:val="BodyText"/>
    <w:qFormat/>
    <w:pPr>
      <w:jc w:val="center"/>
    </w:pPr>
    <w:rPr>
      <w:rFonts w:ascii="Arial" w:hAnsi="Arial" w:cs="Arial"/>
      <w:b/>
      <w:szCs w:val="20"/>
    </w:rPr>
  </w:style>
  <w:style w:type="paragraph" w:styleId="Pleading">
    <w:name w:val="Pleading"/>
    <w:basedOn w:val="Normal"/>
    <w:qFormat/>
    <w:pPr>
      <w:numPr>
        <w:ilvl w:val="0"/>
        <w:numId w:val="3"/>
      </w:numPr>
    </w:pPr>
    <w:rPr>
      <w:rFonts w:ascii="Arial" w:hAnsi="Arial" w:cs="Arial"/>
    </w:rPr>
  </w:style>
  <w:style w:type="paragraph" w:styleId="BodyTextIndent">
    <w:name w:val="Body Text Indent"/>
    <w:basedOn w:val="Normal"/>
    <w:pPr>
      <w:tabs>
        <w:tab w:val="clear" w:pos="720"/>
        <w:tab w:val="left" w:pos="-1440" w:leader="none"/>
        <w:tab w:val="left" w:pos="-720" w:leader="none"/>
        <w:tab w:val="left" w:pos="0" w:leader="none"/>
        <w:tab w:val="left" w:pos="1440" w:leader="none"/>
        <w:tab w:val="left" w:pos="2880" w:leader="none"/>
        <w:tab w:val="left" w:pos="4320" w:leader="none"/>
        <w:tab w:val="left" w:pos="5760" w:leader="none"/>
        <w:tab w:val="left" w:pos="7200" w:leader="none"/>
        <w:tab w:val="left" w:pos="8640" w:leader="none"/>
      </w:tabs>
      <w:spacing w:lineRule="auto" w:line="480"/>
      <w:ind w:firstLine="1440" w:start="0" w:end="0"/>
    </w:pPr>
    <w:rPr>
      <w:sz w:val="25"/>
      <w:szCs w:val="20"/>
    </w:rPr>
  </w:style>
  <w:style w:type="paragraph" w:styleId="BodyTextIndent2">
    <w:name w:val="Body Text Indent 2"/>
    <w:basedOn w:val="Normal"/>
    <w:qFormat/>
    <w:pPr>
      <w:spacing w:lineRule="auto" w:line="480"/>
      <w:ind w:firstLine="720" w:start="0" w:end="0"/>
    </w:pPr>
    <w:rPr>
      <w:rFonts w:ascii="Arial" w:hAnsi="Arial" w:cs="Arial"/>
    </w:rPr>
  </w:style>
  <w:style w:type="paragraph" w:styleId="BodyTextIndent3">
    <w:name w:val="Body Text Indent 3"/>
    <w:basedOn w:val="Normal"/>
    <w:qFormat/>
    <w:pPr>
      <w:ind w:firstLine="720" w:start="0" w:end="0"/>
    </w:pPr>
    <w:rPr>
      <w:rFonts w:ascii="Arial" w:hAnsi="Arial" w:cs="Arial"/>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rFonts w:ascii="Arial" w:hAnsi="Arial" w:cs="Arial"/>
      <w:i/>
      <w:i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ke@aelaw.com" TargetMode="External"/><Relationship Id="rId3" Type="http://schemas.openxmlformats.org/officeDocument/2006/relationships/hyperlink" Target="mailto:chj@aelaw.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mailto:eke@aelaw.com" TargetMode="External"/><Relationship Id="rId9" Type="http://schemas.openxmlformats.org/officeDocument/2006/relationships/hyperlink" Target="mailto:chj@aelaw.com"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2000-07-31T20:55:00Z</dcterms:created>
  <dc:creator>Valued Sony Customer</dc:creator>
  <dc:description/>
  <dc:language>en-CA</dc:language>
  <cp:lastModifiedBy>Valued Sony Customer</cp:lastModifiedBy>
  <cp:lastPrinted>2000-07-30T17:32:00Z</cp:lastPrinted>
  <dcterms:modified xsi:type="dcterms:W3CDTF">2000-07-31T20:55:00Z</dcterms:modified>
  <cp:revision>2</cp:revision>
  <dc:subject/>
  <dc:title>BEFORE THE PUBLIC UTILITIES COMMISSION</dc:title>
</cp:coreProperties>
</file>