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sz w:val="32"/>
        </w:rPr>
      </w:pPr>
      <w:r>
        <w:rPr>
          <w:sz w:val="32"/>
        </w:rPr>
        <w:t xml:space="preserve">DRAFT AGENDA FOR MEETING OF ENRON ADVISORY COUNCIL                   LONDON          OCTOBER 30-31, 2001   </w:t>
      </w:r>
    </w:p>
    <w:p>
      <w:pPr>
        <w:pStyle w:val="Heading2"/>
        <w:spacing w:lineRule="auto" w:line="360"/>
        <w:ind w:hanging="0" w:start="0"/>
        <w:rPr>
          <w:b/>
          <w:bCs/>
          <w:sz w:val="32"/>
        </w:rPr>
      </w:pPr>
      <w:r>
        <w:rPr/>
        <w:t>REVISED July 24, 2001</w:t>
      </w:r>
    </w:p>
    <w:p>
      <w:pPr>
        <w:pStyle w:val="Heading1"/>
        <w:ind w:hanging="0" w:start="0"/>
        <w:rPr/>
      </w:pPr>
      <w:r>
        <w:rPr/>
        <w:t>October 30</w:t>
      </w:r>
    </w:p>
    <w:p>
      <w:pPr>
        <w:pStyle w:val="Normal"/>
        <w:spacing w:lineRule="auto" w:line="360"/>
        <w:rPr/>
      </w:pPr>
      <w:r>
        <w:rPr>
          <w:b/>
          <w:bCs/>
          <w:sz w:val="32"/>
        </w:rPr>
        <w:tab/>
      </w:r>
      <w:r>
        <w:rPr>
          <w:sz w:val="32"/>
        </w:rPr>
        <w:t>5:00:  Group gathers for tour of Enron building.</w:t>
      </w:r>
    </w:p>
    <w:p>
      <w:pPr>
        <w:pStyle w:val="Normal"/>
        <w:spacing w:lineRule="auto" w:line="360"/>
        <w:rPr>
          <w:sz w:val="32"/>
        </w:rPr>
      </w:pPr>
      <w:r>
        <w:rPr>
          <w:sz w:val="32"/>
        </w:rPr>
        <w:tab/>
        <w:t>6:00: Cocktails in Enron building.</w:t>
      </w:r>
    </w:p>
    <w:p>
      <w:pPr>
        <w:pStyle w:val="Normal"/>
        <w:spacing w:lineRule="auto" w:line="360"/>
        <w:rPr>
          <w:sz w:val="32"/>
        </w:rPr>
      </w:pPr>
      <w:r>
        <w:rPr>
          <w:sz w:val="32"/>
        </w:rPr>
        <w:tab/>
        <w:t>6:45: Dinner in Enron building if possible.</w:t>
      </w:r>
    </w:p>
    <w:p>
      <w:pPr>
        <w:pStyle w:val="Normal"/>
        <w:spacing w:lineRule="auto" w:line="360"/>
        <w:rPr/>
      </w:pPr>
      <w:r>
        <w:rPr>
          <w:sz w:val="32"/>
        </w:rPr>
        <w:tab/>
      </w:r>
      <w:r>
        <w:rPr>
          <w:sz w:val="32"/>
          <w:u w:val="single"/>
        </w:rPr>
        <w:t>During dinner presentations as follows</w:t>
      </w:r>
      <w:r>
        <w:rPr>
          <w:sz w:val="32"/>
        </w:rPr>
        <w:t>:</w:t>
      </w:r>
    </w:p>
    <w:p>
      <w:pPr>
        <w:pStyle w:val="Normal"/>
        <w:spacing w:lineRule="auto" w:line="360"/>
        <w:rPr>
          <w:sz w:val="32"/>
        </w:rPr>
      </w:pPr>
      <w:r>
        <w:rPr>
          <w:sz w:val="32"/>
        </w:rPr>
        <w:tab/>
        <w:t>Welcome: Ken Lay                                10 minutes</w:t>
      </w:r>
    </w:p>
    <w:p>
      <w:pPr>
        <w:pStyle w:val="Normal"/>
        <w:spacing w:lineRule="auto" w:line="360"/>
        <w:rPr>
          <w:sz w:val="32"/>
        </w:rPr>
      </w:pPr>
      <w:r>
        <w:rPr>
          <w:sz w:val="32"/>
        </w:rPr>
        <w:tab/>
        <w:t>US Political Update: Bill Kristol              30 minutes</w:t>
      </w:r>
    </w:p>
    <w:p>
      <w:pPr>
        <w:pStyle w:val="Normal"/>
        <w:spacing w:lineRule="auto" w:line="360"/>
        <w:rPr>
          <w:sz w:val="32"/>
        </w:rPr>
      </w:pPr>
      <w:r>
        <w:rPr>
          <w:sz w:val="32"/>
        </w:rPr>
        <w:tab/>
        <w:t>Enron Update – Overview: Jeff Skilling  15 minutes</w:t>
      </w:r>
    </w:p>
    <w:p>
      <w:pPr>
        <w:pStyle w:val="Normal"/>
        <w:spacing w:lineRule="auto" w:line="360"/>
        <w:rPr>
          <w:sz w:val="32"/>
        </w:rPr>
      </w:pPr>
      <w:r>
        <w:rPr>
          <w:sz w:val="32"/>
        </w:rPr>
        <w:tab/>
        <w:t>Enron Update – Europe: John Sherriff    45 minutes</w:t>
      </w:r>
      <w:r>
        <w:rPr>
          <w:rStyle w:val="FootnoteCharacters"/>
          <w:rStyle w:val="FootnoteReference"/>
          <w:sz w:val="32"/>
        </w:rPr>
        <w:footnoteReference w:id="2"/>
      </w:r>
    </w:p>
    <w:p>
      <w:pPr>
        <w:pStyle w:val="Normal"/>
        <w:spacing w:lineRule="auto" w:line="360"/>
        <w:rPr/>
      </w:pPr>
      <w:r>
        <w:rPr>
          <w:sz w:val="32"/>
        </w:rPr>
        <w:tab/>
      </w:r>
      <w:r>
        <w:rPr>
          <w:sz w:val="32"/>
          <w:u w:val="single"/>
        </w:rPr>
        <w:t>Note</w:t>
      </w:r>
      <w:r>
        <w:rPr>
          <w:sz w:val="32"/>
        </w:rPr>
        <w:t>: The total, with over-runs and slippage, comes to close to two hours; with questions and discussion, that makes three hours – just about right.</w:t>
      </w:r>
    </w:p>
    <w:p>
      <w:pPr>
        <w:pStyle w:val="Heading1"/>
        <w:ind w:hanging="0" w:start="0"/>
        <w:rPr/>
      </w:pPr>
      <w:r>
        <w:rPr/>
        <w:t>October 31 (all time estimates include time for discussion)</w:t>
      </w:r>
    </w:p>
    <w:p>
      <w:pPr>
        <w:pStyle w:val="Normal"/>
        <w:spacing w:lineRule="auto" w:line="360"/>
        <w:rPr>
          <w:sz w:val="32"/>
        </w:rPr>
      </w:pPr>
      <w:r>
        <w:rPr>
          <w:sz w:val="32"/>
        </w:rPr>
        <w:tab/>
        <w:t>7:30: Breakfast – at Enron building if possible.</w:t>
      </w:r>
    </w:p>
    <w:p>
      <w:pPr>
        <w:pStyle w:val="Normal"/>
        <w:spacing w:lineRule="auto" w:line="360"/>
        <w:rPr>
          <w:sz w:val="32"/>
        </w:rPr>
      </w:pPr>
      <w:r>
        <w:rPr>
          <w:sz w:val="32"/>
        </w:rPr>
        <w:tab/>
        <w:t>8:00 – 9:00: Macroeconomic update – Gavyn Davies</w:t>
      </w:r>
    </w:p>
    <w:p>
      <w:pPr>
        <w:pStyle w:val="Normal"/>
        <w:spacing w:lineRule="auto" w:line="360"/>
        <w:rPr>
          <w:sz w:val="32"/>
        </w:rPr>
      </w:pPr>
      <w:r>
        <w:rPr>
          <w:sz w:val="32"/>
        </w:rPr>
        <w:tab/>
        <w:t>9:00 – 10:30: Enron market opportunities in Europe:</w:t>
      </w:r>
    </w:p>
    <w:p>
      <w:pPr>
        <w:pStyle w:val="Normal"/>
        <w:spacing w:lineRule="auto" w:line="360"/>
        <w:rPr>
          <w:sz w:val="32"/>
        </w:rPr>
      </w:pPr>
      <w:r>
        <w:rPr>
          <w:sz w:val="32"/>
        </w:rPr>
        <w:tab/>
        <w:tab/>
        <w:tab/>
      </w:r>
      <w:r>
        <w:rPr>
          <w:sz w:val="32"/>
          <w:u w:val="single"/>
        </w:rPr>
        <w:t>Russia-</w:t>
      </w:r>
      <w:r>
        <w:rPr>
          <w:sz w:val="32"/>
        </w:rPr>
        <w:t xml:space="preserve"> (with discussion of future of Gazprom) -</w:t>
        <w:tab/>
        <w:tab/>
        <w:tab/>
        <w:tab/>
        <w:tab/>
        <w:t xml:space="preserve">    Eric Nielsen (head of emerging market </w:t>
        <w:tab/>
        <w:tab/>
        <w:tab/>
        <w:tab/>
        <w:t xml:space="preserve">            economies in Europe), and Al Breach (runs </w:t>
        <w:tab/>
        <w:tab/>
        <w:tab/>
        <w:tab/>
        <w:t xml:space="preserve">    Moscow office), both from Goldman Sachs.</w:t>
      </w:r>
    </w:p>
    <w:p>
      <w:pPr>
        <w:pStyle w:val="Normal"/>
        <w:spacing w:lineRule="auto" w:line="360"/>
        <w:rPr>
          <w:sz w:val="32"/>
        </w:rPr>
      </w:pPr>
      <w:r>
        <w:rPr>
          <w:sz w:val="32"/>
        </w:rPr>
        <w:tab/>
        <w:tab/>
        <w:tab/>
      </w:r>
      <w:r>
        <w:rPr>
          <w:sz w:val="32"/>
          <w:u w:val="single"/>
        </w:rPr>
        <w:t>Germany-</w:t>
      </w:r>
      <w:r>
        <w:rPr>
          <w:sz w:val="32"/>
        </w:rPr>
        <w:t xml:space="preserve"> (with discussion of impact of changes in </w:t>
        <w:tab/>
        <w:tab/>
        <w:tab/>
        <w:tab/>
        <w:t xml:space="preserve">    capital gains tax and impact on cross-</w:t>
        <w:tab/>
        <w:tab/>
        <w:tab/>
        <w:tab/>
        <w:tab/>
        <w:tab/>
        <w:t xml:space="preserve">    holdings) – Timothy Plaut (runs German</w:t>
      </w:r>
    </w:p>
    <w:p>
      <w:pPr>
        <w:pStyle w:val="Normal"/>
        <w:spacing w:lineRule="auto" w:line="360"/>
        <w:rPr>
          <w:sz w:val="32"/>
        </w:rPr>
      </w:pPr>
      <w:r>
        <w:rPr>
          <w:sz w:val="32"/>
        </w:rPr>
        <w:tab/>
        <w:tab/>
        <w:tab/>
        <w:tab/>
        <w:t xml:space="preserve">    business for Goldman Sachs. </w:t>
      </w:r>
    </w:p>
    <w:p>
      <w:pPr>
        <w:pStyle w:val="Normal"/>
        <w:spacing w:lineRule="auto" w:line="360"/>
        <w:rPr>
          <w:sz w:val="32"/>
        </w:rPr>
      </w:pPr>
      <w:r>
        <w:rPr>
          <w:sz w:val="32"/>
        </w:rPr>
        <w:tab/>
        <w:tab/>
        <w:tab/>
      </w:r>
      <w:r>
        <w:rPr>
          <w:sz w:val="32"/>
          <w:u w:val="single"/>
        </w:rPr>
        <w:t>Spain-</w:t>
      </w:r>
      <w:r>
        <w:rPr>
          <w:sz w:val="32"/>
        </w:rPr>
        <w:t xml:space="preserve"> Either Ken Lay, a Repsol person, or Oscar </w:t>
        <w:tab/>
        <w:tab/>
        <w:tab/>
        <w:tab/>
        <w:t xml:space="preserve">            Fanjul, former Repsol CEO and in the </w:t>
        <w:tab/>
        <w:tab/>
        <w:tab/>
        <w:tab/>
        <w:tab/>
        <w:t xml:space="preserve">    middle of many brawls in Spain.</w:t>
      </w:r>
    </w:p>
    <w:p>
      <w:pPr>
        <w:pStyle w:val="Normal"/>
        <w:spacing w:lineRule="auto" w:line="360"/>
        <w:rPr>
          <w:sz w:val="32"/>
        </w:rPr>
      </w:pPr>
      <w:r>
        <w:rPr>
          <w:sz w:val="32"/>
        </w:rPr>
        <w:tab/>
        <w:t>10:30 – 11:00: Coffee break and informal discussion</w:t>
      </w:r>
    </w:p>
    <w:p>
      <w:pPr>
        <w:pStyle w:val="Normal"/>
        <w:spacing w:lineRule="auto" w:line="360"/>
        <w:rPr>
          <w:sz w:val="32"/>
        </w:rPr>
      </w:pPr>
      <w:r>
        <w:rPr>
          <w:sz w:val="32"/>
        </w:rPr>
        <w:tab/>
        <w:t xml:space="preserve">11:00 – 11: 45: Newt Gingrich on the impact of changing </w:t>
        <w:tab/>
        <w:tab/>
        <w:tab/>
        <w:tab/>
        <w:tab/>
        <w:t xml:space="preserve">technology on corporate governance </w:t>
        <w:tab/>
        <w:tab/>
        <w:tab/>
        <w:tab/>
        <w:tab/>
        <w:tab/>
        <w:t xml:space="preserve">structures (or some other topic if Ken and </w:t>
        <w:tab/>
        <w:tab/>
        <w:tab/>
        <w:tab/>
        <w:tab/>
        <w:t xml:space="preserve">Steve have a preference). </w:t>
      </w:r>
    </w:p>
    <w:p>
      <w:pPr>
        <w:pStyle w:val="Normal"/>
        <w:spacing w:lineRule="auto" w:line="360"/>
        <w:rPr>
          <w:sz w:val="32"/>
        </w:rPr>
      </w:pPr>
      <w:r>
        <w:rPr>
          <w:sz w:val="32"/>
        </w:rPr>
        <w:tab/>
        <w:t xml:space="preserve">11:45 – 12:30: Rod Eddington (BA) on The Role of </w:t>
        <w:tab/>
        <w:tab/>
        <w:tab/>
        <w:tab/>
        <w:tab/>
        <w:tab/>
        <w:t xml:space="preserve">Leadership in Corporate Governance: Does </w:t>
        <w:tab/>
        <w:tab/>
        <w:tab/>
        <w:tab/>
        <w:tab/>
        <w:t>the CEO Matter?</w:t>
      </w:r>
    </w:p>
    <w:p>
      <w:pPr>
        <w:pStyle w:val="Normal"/>
        <w:spacing w:lineRule="auto" w:line="360"/>
        <w:rPr>
          <w:sz w:val="32"/>
        </w:rPr>
      </w:pPr>
      <w:r>
        <w:rPr>
          <w:sz w:val="32"/>
        </w:rPr>
        <w:tab/>
        <w:t xml:space="preserve">12:30 – 2:00    Lunch and talk by John Browne, BP, on what </w:t>
        <w:tab/>
        <w:tab/>
        <w:tab/>
        <w:tab/>
        <w:tab/>
        <w:t xml:space="preserve">its major competitors think of Enron, and how </w:t>
        <w:tab/>
        <w:tab/>
        <w:tab/>
        <w:tab/>
        <w:t xml:space="preserve">they </w:t>
        <w:tab/>
        <w:t xml:space="preserve">plan to contend with its aggressiveness. </w:t>
        <w:tab/>
        <w:tab/>
        <w:tab/>
        <w:tab/>
        <w:tab/>
        <w:t xml:space="preserve">Or some less provocative subject if he </w:t>
        <w:tab/>
        <w:tab/>
        <w:tab/>
        <w:tab/>
        <w:tab/>
        <w:tab/>
        <w:t xml:space="preserve">prefers. If Browne agrees to come, we might </w:t>
        <w:tab/>
        <w:tab/>
        <w:tab/>
        <w:tab/>
        <w:tab/>
        <w:t xml:space="preserve">invite more Enron people than will be at the </w:t>
        <w:tab/>
        <w:tab/>
        <w:tab/>
        <w:tab/>
        <w:tab/>
        <w:t xml:space="preserve">other parts of the meeting, using the large </w:t>
        <w:tab/>
        <w:tab/>
        <w:tab/>
        <w:tab/>
        <w:tab/>
        <w:t>auditorium.</w:t>
      </w:r>
    </w:p>
    <w:p>
      <w:pPr>
        <w:pStyle w:val="Normal"/>
        <w:spacing w:lineRule="auto" w:line="360"/>
        <w:rPr>
          <w:sz w:val="32"/>
        </w:rPr>
      </w:pPr>
      <w:r>
        <w:rPr>
          <w:sz w:val="32"/>
        </w:rPr>
        <w:tab/>
        <w:t xml:space="preserve">2:00 – 3:00: European attitudes towards America, and </w:t>
        <w:tab/>
        <w:tab/>
        <w:tab/>
        <w:tab/>
        <w:tab/>
        <w:t xml:space="preserve">    implications for economic and foreign policy.</w:t>
      </w:r>
    </w:p>
    <w:p>
      <w:pPr>
        <w:pStyle w:val="Normal"/>
        <w:spacing w:lineRule="auto" w:line="360"/>
        <w:rPr>
          <w:sz w:val="32"/>
        </w:rPr>
      </w:pPr>
      <w:r>
        <w:rPr>
          <w:sz w:val="32"/>
        </w:rPr>
        <w:tab/>
        <w:tab/>
        <w:tab/>
        <w:t xml:space="preserve">    Irwin Stelzer (30 minutes), comment by Newt </w:t>
        <w:tab/>
        <w:tab/>
        <w:tab/>
        <w:tab/>
        <w:t xml:space="preserve">    Gingrich (15 minutes), discussion (15 minutes).</w:t>
      </w:r>
    </w:p>
    <w:p>
      <w:pPr>
        <w:pStyle w:val="Normal"/>
        <w:spacing w:lineRule="auto" w:line="360"/>
        <w:rPr>
          <w:sz w:val="32"/>
        </w:rPr>
      </w:pPr>
      <w:r>
        <w:rPr>
          <w:sz w:val="32"/>
        </w:rPr>
        <w:tab/>
        <w:t>3:00 – 4:30: Regulation of markets: Past, Present and Future</w:t>
      </w:r>
    </w:p>
    <w:p>
      <w:pPr>
        <w:pStyle w:val="Normal"/>
        <w:spacing w:lineRule="auto" w:line="360"/>
        <w:rPr/>
      </w:pPr>
      <w:r>
        <w:rPr>
          <w:sz w:val="32"/>
        </w:rPr>
        <w:tab/>
        <w:tab/>
        <w:tab/>
        <w:t xml:space="preserve">    </w:t>
      </w:r>
      <w:r>
        <w:rPr>
          <w:sz w:val="32"/>
          <w:u w:val="single"/>
        </w:rPr>
        <w:t>Case Study: California</w:t>
      </w:r>
      <w:r>
        <w:rPr>
          <w:sz w:val="32"/>
        </w:rPr>
        <w:t xml:space="preserve">. Bob Glynn and Steve </w:t>
        <w:tab/>
        <w:tab/>
        <w:tab/>
        <w:tab/>
        <w:t xml:space="preserve">    Kean. We hope this is the Past.</w:t>
      </w:r>
    </w:p>
    <w:p>
      <w:pPr>
        <w:pStyle w:val="Normal"/>
        <w:spacing w:lineRule="auto" w:line="360"/>
        <w:rPr>
          <w:sz w:val="32"/>
        </w:rPr>
      </w:pPr>
      <w:r>
        <w:rPr>
          <w:sz w:val="32"/>
        </w:rPr>
        <w:tab/>
        <w:tab/>
        <w:tab/>
        <w:t xml:space="preserve">    </w:t>
      </w:r>
      <w:r>
        <w:rPr>
          <w:sz w:val="32"/>
          <w:u w:val="single"/>
        </w:rPr>
        <w:t>Energy Market Regulation in the UK and the EU</w:t>
      </w:r>
    </w:p>
    <w:p>
      <w:pPr>
        <w:pStyle w:val="BodyText"/>
        <w:rPr/>
      </w:pPr>
      <w:r>
        <w:rPr/>
        <w:tab/>
        <w:tab/>
        <w:tab/>
        <w:t xml:space="preserve">    Callum McCarthy. This covers the </w:t>
        <w:tab/>
        <w:tab/>
        <w:tab/>
        <w:tab/>
        <w:tab/>
        <w:tab/>
        <w:t xml:space="preserve">    Present</w:t>
      </w:r>
    </w:p>
    <w:p>
      <w:pPr>
        <w:pStyle w:val="Normal"/>
        <w:spacing w:lineRule="auto" w:line="360"/>
        <w:rPr/>
      </w:pPr>
      <w:r>
        <w:rPr>
          <w:sz w:val="32"/>
        </w:rPr>
        <w:tab/>
        <w:tab/>
        <w:tab/>
        <w:t xml:space="preserve">    </w:t>
      </w:r>
      <w:r>
        <w:rPr>
          <w:sz w:val="32"/>
          <w:u w:val="single"/>
        </w:rPr>
        <w:t>Financial Market Regulation as a Model for</w:t>
      </w:r>
      <w:r>
        <w:rPr>
          <w:sz w:val="32"/>
        </w:rPr>
        <w:t xml:space="preserve"> </w:t>
        <w:tab/>
        <w:tab/>
        <w:tab/>
        <w:tab/>
        <w:t xml:space="preserve">    </w:t>
      </w:r>
      <w:r>
        <w:rPr>
          <w:sz w:val="32"/>
          <w:u w:val="single"/>
        </w:rPr>
        <w:t>Energy Market Regulation</w:t>
      </w:r>
      <w:r>
        <w:rPr>
          <w:sz w:val="32"/>
        </w:rPr>
        <w:t>. Howard Davies</w:t>
      </w:r>
      <w:r>
        <w:rPr>
          <w:rStyle w:val="FootnoteCharacters"/>
          <w:rStyle w:val="FootnoteReference"/>
          <w:sz w:val="32"/>
        </w:rPr>
        <w:footnoteReference w:id="3"/>
      </w:r>
      <w:r>
        <w:rPr>
          <w:sz w:val="32"/>
        </w:rPr>
        <w:t xml:space="preserve"> </w:t>
        <w:tab/>
        <w:tab/>
        <w:tab/>
        <w:tab/>
        <w:t xml:space="preserve">    This covers the future.</w:t>
      </w:r>
    </w:p>
    <w:p>
      <w:pPr>
        <w:pStyle w:val="Normal"/>
        <w:spacing w:lineRule="auto" w:line="360"/>
        <w:rPr>
          <w:sz w:val="32"/>
        </w:rPr>
      </w:pPr>
      <w:r>
        <w:rPr>
          <w:sz w:val="32"/>
        </w:rPr>
        <w:tab/>
        <w:t>4:30 – 5:00  Closing remarks by Ken Lay and John Sherriff</w:t>
      </w:r>
    </w:p>
    <w:p>
      <w:pPr>
        <w:pStyle w:val="Normal"/>
        <w:spacing w:lineRule="auto" w:line="360"/>
        <w:rPr>
          <w:sz w:val="32"/>
        </w:rPr>
      </w:pPr>
      <w:r>
        <w:rPr>
          <w:sz w:val="32"/>
        </w:rPr>
        <w:t>-------------------------------------------------------------------------------------</w:t>
      </w:r>
    </w:p>
    <w:p>
      <w:pPr>
        <w:pStyle w:val="Normal"/>
        <w:spacing w:lineRule="auto" w:line="360"/>
        <w:rPr>
          <w:sz w:val="32"/>
        </w:rPr>
      </w:pPr>
      <w:r>
        <w:rPr>
          <w:sz w:val="32"/>
        </w:rPr>
        <w:t xml:space="preserve">ADJOURN TO HOTELS FOR BREAK; RECONVENE FOR DINNER AT 6:30 AT EITHER THE CONNAUGHT PRIVATE DINING ROOM THAT SEATS 20, OR A LARGER ROOM IN THE REFORM CLUB, OR AT SOME OTHER VENUE PREFERRED BY ENRON. MY PREFERENCE IS TO INVITE CHANCELLOR GORDON BROWN TO TALK ABOUT EFFORTS TO CONVERT THE UK INTO AN ENTREPRENEURIAL SOCIETY THROUGH TAX POLICY, CHANGES IN THE LAWS (VIGOROUS COMPETITION POLICY, ENDING BANKRUPTCY LAWS THAT ALLOW ONE STRIKE AND YOU’RE OUT), AND CHANGES IN ATTITUDES TOWARDS WELFARE AND WORK. </w:t>
      </w:r>
    </w:p>
    <w:p>
      <w:pPr>
        <w:pStyle w:val="Normal"/>
        <w:spacing w:lineRule="auto" w:line="360"/>
        <w:rPr>
          <w:sz w:val="32"/>
        </w:rPr>
      </w:pPr>
      <w:r>
        <w:rPr>
          <w:sz w:val="32"/>
        </w:rPr>
        <w:tab/>
        <w:t xml:space="preserve">But we should discuss whether this is optimal from Enron’s point of view. Also, there are many moving parts, e.g., Browne might prefer a dinner to a luncheon talk.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25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ribune">
    <w:altName w:val="Bookman Old Style"/>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99060"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99060"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8pt;height:16.1pt;mso-wrap-distance-left:0pt;mso-wrap-distance-right:0pt;mso-wrap-distance-top:0pt;mso-wrap-distance-bottom:0pt;margin-top:0.05pt;mso-position-vertical-relative:text;margin-left:460.2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color w:val="000000"/>
        <w:sz w:val="16"/>
      </w:rPr>
    </w:pPr>
    <w:r>
      <w:rPr>
        <w:rFonts w:cs="Times New Roman" w:ascii="Times New Roman" w:hAnsi="Times New Roman"/>
        <w:color w:val="000000"/>
        <w:sz w:val="16"/>
      </w:rPr>
      <w:t>314 South Mill, Aspen, CO  81611  Telephone: 970 920 1061  Facsimile: 970 920 1418</w:t>
    </w:r>
  </w:p>
  <w:p>
    <w:pPr>
      <w:pStyle w:val="Footer"/>
      <w:jc w:val="center"/>
      <w:rPr>
        <w:rFonts w:ascii="Times New Roman" w:hAnsi="Times New Roman" w:cs="Times New Roman"/>
        <w:color w:val="000000"/>
        <w:sz w:val="16"/>
      </w:rPr>
    </w:pPr>
    <w:r>
      <w:rPr>
        <w:rFonts w:cs="Times New Roman" w:ascii="Times New Roman" w:hAnsi="Times New Roman"/>
        <w:color w:val="000000"/>
        <w:sz w:val="16"/>
      </w:rPr>
      <w:t>——————————————————————————————————————————————————————————</w:t>
    </w:r>
  </w:p>
  <w:p>
    <w:pPr>
      <w:pStyle w:val="Footer"/>
      <w:jc w:val="center"/>
      <w:rPr>
        <w:rFonts w:ascii="Times New Roman" w:hAnsi="Times New Roman" w:cs="Times New Roman"/>
        <w:color w:val="000000"/>
        <w:sz w:val="16"/>
      </w:rPr>
    </w:pPr>
    <w:r>
      <w:rPr>
        <w:rFonts w:cs="Times New Roman" w:ascii="Times New Roman" w:hAnsi="Times New Roman"/>
        <w:color w:val="000000"/>
        <w:sz w:val="16"/>
      </w:rPr>
      <w:t>IRWIN M. STELZER ASSOCIATES, LTD</w:t>
    </w:r>
  </w:p>
  <w:p>
    <w:pPr>
      <w:pStyle w:val="Footer"/>
      <w:jc w:val="center"/>
      <w:rPr>
        <w:rFonts w:ascii="Tribune;Bookman Old Style" w:hAnsi="Tribune;Bookman Old Style" w:cs="Tribune;Bookman Old Style"/>
        <w:color w:val="000000"/>
        <w:sz w:val="16"/>
      </w:rPr>
    </w:pPr>
    <w:r>
      <w:rPr>
        <w:rFonts w:cs="Times New Roman" w:ascii="Times New Roman" w:hAnsi="Times New Roman"/>
        <w:color w:val="000000"/>
        <w:sz w:val="16"/>
      </w:rPr>
      <w:t>18b Charles Street, London W1J 5DU   Telephone: 020 7667 6385  Facsimile: 020 7667 6460</w:t>
    </w:r>
  </w:p>
  <w:p>
    <w:pPr>
      <w:pStyle w:val="Footer"/>
      <w:rPr>
        <w:rFonts w:ascii="Tribune;Bookman Old Style" w:hAnsi="Tribune;Bookman Old Style" w:cs="Tribune;Bookman Old Style"/>
        <w:color w:val="000000"/>
        <w:sz w:val="16"/>
      </w:rPr>
    </w:pPr>
    <w:r>
      <w:rPr>
        <w:rFonts w:cs="Tribune;Bookman Old Style" w:ascii="Tribune;Bookman Old Style" w:hAnsi="Tribune;Bookman Old Style"/>
        <w:color w:val="000000"/>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We should allow ample time so that John can give a full rundown on activities in all aspects of the business in all countries.</w:t>
      </w:r>
    </w:p>
  </w:footnote>
  <w:footnote w:id="3">
    <w:p>
      <w:pPr>
        <w:pStyle w:val="FootnoteText"/>
        <w:rPr/>
      </w:pPr>
      <w:r>
        <w:rPr>
          <w:rStyle w:val="FootnoteCharacters"/>
        </w:rPr>
        <w:footnoteRef/>
      </w:r>
      <w:r>
        <w:rPr/>
        <w:t xml:space="preserve"> </w:t>
      </w:r>
      <w:r>
        <w:rPr/>
        <w:t>Davies is Chairman of The Financial Services Authority. This is by way of following up on the hint at the Aspen seminar that the future of regulation of the energy industries might be more akin to financial market regulation than to traditional utility regulation.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b/>
        <w:sz w:val="36"/>
      </w:rPr>
    </w:pPr>
    <w:r>
      <w:rPr>
        <w:rFonts w:cs="Times New Roman" w:ascii="Times New Roman" w:hAnsi="Times New Roman"/>
        <w:b/>
        <w:sz w:val="36"/>
      </w:rPr>
      <w:t>IRWIN M. STELZER</w:t>
    </w:r>
  </w:p>
  <w:p>
    <w:pPr>
      <w:pStyle w:val="Header"/>
      <w:jc w:val="center"/>
      <w:rPr>
        <w:rFonts w:ascii="Times New Roman" w:hAnsi="Times New Roman" w:cs="Times New Roman"/>
        <w:b/>
        <w:sz w:val="16"/>
      </w:rPr>
    </w:pPr>
    <w:r>
      <w:rPr>
        <w:rFonts w:cs="Times New Roman" w:ascii="Times New Roman" w:hAnsi="Times New Roman"/>
        <w:b/>
        <w:sz w:val="24"/>
      </w:rPr>
      <w:t>|||||||||||| ASSOCIATES, INC. ||||||||||||</w:t>
    </w:r>
  </w:p>
  <w:p>
    <w:pPr>
      <w:pStyle w:val="Header"/>
      <w:jc w:val="center"/>
      <w:rPr>
        <w:rFonts w:ascii="Times New Roman" w:hAnsi="Times New Roman" w:cs="Times New Roman"/>
        <w:sz w:val="16"/>
      </w:rPr>
    </w:pPr>
    <w:r>
      <w:rPr>
        <w:rFonts w:cs="Times New Roman" w:ascii="Times New Roman" w:hAnsi="Times New Roman"/>
        <w:sz w:val="16"/>
      </w:rPr>
      <w:t>Suite 202</w:t>
    </w:r>
  </w:p>
  <w:p>
    <w:pPr>
      <w:pStyle w:val="Header"/>
      <w:jc w:val="center"/>
      <w:rPr>
        <w:rFonts w:ascii="Times New Roman" w:hAnsi="Times New Roman" w:cs="Times New Roman"/>
        <w:sz w:val="16"/>
      </w:rPr>
    </w:pPr>
    <w:r>
      <w:rPr>
        <w:rFonts w:cs="Times New Roman" w:ascii="Times New Roman" w:hAnsi="Times New Roman"/>
        <w:sz w:val="16"/>
      </w:rPr>
      <w:t>1101 Seventeenth Street, N.W., Washington, D.C.  20036</w:t>
    </w:r>
  </w:p>
  <w:p>
    <w:pPr>
      <w:pStyle w:val="Header"/>
      <w:jc w:val="center"/>
      <w:rPr>
        <w:rFonts w:ascii="Times New Roman" w:hAnsi="Times New Roman" w:cs="Times New Roman"/>
        <w:sz w:val="16"/>
      </w:rPr>
    </w:pPr>
    <w:r>
      <w:rPr>
        <w:rFonts w:cs="Times New Roman" w:ascii="Times New Roman" w:hAnsi="Times New Roman"/>
        <w:sz w:val="16"/>
      </w:rPr>
      <w:t>Telephone:  (202) 777-3000       Facsimile:  (202) 777-3010</w:t>
    </w:r>
  </w:p>
  <w:p>
    <w:pPr>
      <w:pStyle w:val="Header"/>
      <w:jc w:val="center"/>
      <w:rPr>
        <w:rFonts w:ascii="Times New Roman" w:hAnsi="Times New Roman" w:cs="Times New Roman"/>
        <w:sz w:val="16"/>
      </w:rPr>
    </w:pPr>
    <w:r>
      <w:rPr>
        <w:rFonts w:cs="Times New Roman" w:ascii="Times New Roman" w:hAnsi="Times New Roman"/>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bCs/>
      <w:sz w:val="32"/>
    </w:rPr>
  </w:style>
  <w:style w:type="paragraph" w:styleId="Heading2">
    <w:name w:val="heading 2"/>
    <w:basedOn w:val="Normal"/>
    <w:next w:val="Normal"/>
    <w:qFormat/>
    <w:pPr>
      <w:keepNext w:val="true"/>
      <w:numPr>
        <w:ilvl w:val="1"/>
        <w:numId w:val="1"/>
      </w:numPr>
      <w:spacing w:lineRule="auto" w:line="360"/>
      <w:jc w:val="center"/>
      <w:outlineLvl w:val="1"/>
    </w:pPr>
    <w:rPr>
      <w:b/>
      <w:bCs/>
      <w:sz w:val="32"/>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ulletIndent">
    <w:name w:val="Bullet Indent"/>
    <w:basedOn w:val="Normal"/>
    <w:qFormat/>
    <w:pPr>
      <w:numPr>
        <w:ilvl w:val="0"/>
        <w:numId w:val="2"/>
      </w:numPr>
      <w:spacing w:lineRule="auto" w:line="360"/>
    </w:pPr>
    <w:rPr>
      <w:sz w:val="32"/>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DC Assoc Letterhead.dot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2001-07-23T21:24:00Z</dcterms:created>
  <dc:creator> </dc:creator>
  <dc:description/>
  <dc:language>en-CA</dc:language>
  <cp:lastModifiedBy> </cp:lastModifiedBy>
  <cp:lastPrinted>2001-07-23T19:09:00Z</cp:lastPrinted>
  <dcterms:modified xsi:type="dcterms:W3CDTF">2001-07-24T16:18:00Z</dcterms:modified>
  <cp:revision>11</cp:revision>
  <dc:subject/>
  <dc:title>IMS Letterhead</dc:title>
</cp:coreProperties>
</file>