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wmf" ContentType="image/x-wmf"/>
  <Override PartName="/word/media/image2.png" ContentType="image/png"/>
  <Override PartName="/word/media/image3.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bookmarkStart w:id="0" w:name="date"/>
      <w:bookmarkEnd w:id="0"/>
      <w:r>
        <w:rPr>
          <w:rFonts w:cs="Times New Roman" w:ascii="Times New Roman" w:hAnsi="Times New Roman"/>
        </w:rPr>
        <w:t>October 12, 2001</w:t>
      </w:r>
    </w:p>
    <w:p>
      <w:pPr>
        <w:pStyle w:val="Normal"/>
        <w:rPr>
          <w:rFonts w:ascii="Times New Roman" w:hAnsi="Times New Roman" w:cs="Times New Roman"/>
        </w:rPr>
      </w:pPr>
      <w:r>
        <w:rPr>
          <w:rFonts w:cs="Times New Roman" w:ascii="Times New Roman" w:hAnsi="Times New Roman"/>
        </w:rPr>
      </w:r>
      <w:bookmarkStart w:id="1" w:name="date"/>
      <w:bookmarkStart w:id="2" w:name="date"/>
      <w:bookmarkEnd w:id="2"/>
    </w:p>
    <w:p>
      <w:pPr>
        <w:pStyle w:val="Normal"/>
        <w:rPr>
          <w:rFonts w:ascii="Times New Roman" w:hAnsi="Times New Roman" w:cs="Times New Roman"/>
        </w:rPr>
      </w:pPr>
      <w:r>
        <w:rPr>
          <w:rFonts w:cs="Times New Roman" w:ascii="Times New Roman" w:hAnsi="Times New Roman"/>
        </w:rPr>
        <w:t>SVMG Member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Subject:  California Industry Energy Advisory Group</w:t>
      </w:r>
    </w:p>
    <w:p>
      <w:pPr>
        <w:pStyle w:val="Normal"/>
        <w:rPr>
          <w:rFonts w:ascii="Times New Roman" w:hAnsi="Times New Roman" w:cs="Times New Roman"/>
        </w:rPr>
      </w:pPr>
      <w:r>
        <w:rPr>
          <w:rFonts w:cs="Times New Roman" w:ascii="Times New Roman" w:hAnsi="Times New Roman"/>
        </w:rPr>
      </w:r>
    </w:p>
    <w:p>
      <w:pPr>
        <w:pStyle w:val="Normal"/>
        <w:rPr/>
      </w:pPr>
      <w:r>
        <w:rPr/>
        <w:t xml:space="preserve">The California Energy Commission recognizes the Silicon Valley Manufacturing Group as one of the significant drivers behind industrial growth in the state.  The economic engine provided by the member companies creates jobs and products for export, and supports tax revenue to the state.  While we have made it through the summer of 2001 without incurring further rolling blackouts, the energy crisis has not passed.   The CEC recognizes the serious threat this crisis poses for the future of California.  </w:t>
      </w:r>
    </w:p>
    <w:p>
      <w:pPr>
        <w:pStyle w:val="Normal"/>
        <w:rPr/>
      </w:pPr>
      <w:r>
        <w:rPr/>
      </w:r>
    </w:p>
    <w:p>
      <w:pPr>
        <w:pStyle w:val="Normal"/>
        <w:rPr/>
      </w:pPr>
      <w:r>
        <w:rPr/>
        <w:t>To find solutions, a comprehensive plan is needed that addresses short-term needs, while at the same time defining a longer-term strategy.  A plan that engages principals from both public and private sectors in a collaborative effort to identify needs, explore remedies and take action, will serve to reinforce industry confidence in California’s energy infrastructure, and may also reveal solutions on the customer side of the meter that will help to improve power quality and reliability.</w:t>
      </w:r>
    </w:p>
    <w:p>
      <w:pPr>
        <w:pStyle w:val="Normal"/>
        <w:rPr/>
      </w:pPr>
      <w:r>
        <w:rPr/>
      </w:r>
    </w:p>
    <w:p>
      <w:pPr>
        <w:pStyle w:val="Normal"/>
        <w:rPr/>
      </w:pPr>
      <w:r>
        <w:rPr/>
        <w:t>This is to invite you to join EPRI and the CEC in a collaborative alliance in the form of an industry advisory group to help identify industry issues that can be solved through energy RD&amp;D and that are suitable for CEC PIER (Public Interest Energy Research) support.  This collaborative will apply state-of-the-art, and yet-to-be-developed, power delivery and end-use energy technologies that meet the needs of industry in California.</w:t>
      </w:r>
    </w:p>
    <w:p>
      <w:pPr>
        <w:pStyle w:val="Normal"/>
        <w:rPr/>
      </w:pPr>
      <w:r>
        <w:rPr/>
      </w:r>
    </w:p>
    <w:p>
      <w:pPr>
        <w:pStyle w:val="Normal"/>
        <w:rPr/>
      </w:pPr>
      <w:r>
        <w:rPr/>
        <w:t xml:space="preserve">We anticipate the advisory group will be in effect through at least next year.  Structure and procedures of the advisory group will be established by consensus among the members.  We would appreciate receiving replies of participation from those interested by November 7, 2001. </w:t>
      </w:r>
    </w:p>
    <w:p>
      <w:pPr>
        <w:pStyle w:val="Normal"/>
        <w:rPr>
          <w:rFonts w:ascii="Times New Roman" w:hAnsi="Times New Roman" w:cs="Times New Roman"/>
        </w:rPr>
      </w:pPr>
      <w:r>
        <w:rPr>
          <w:rFonts w:eastAsia="Palatino"/>
        </w:rPr>
        <w:t xml:space="preserve"> </w:t>
      </w:r>
    </w:p>
    <w:p>
      <w:pPr>
        <w:pStyle w:val="Normal"/>
        <w:rPr>
          <w:rFonts w:ascii="Times New Roman" w:hAnsi="Times New Roman" w:cs="Times New Roman"/>
        </w:rPr>
      </w:pPr>
      <w:r>
        <w:rPr>
          <w:rFonts w:cs="Times New Roman" w:ascii="Times New Roman" w:hAnsi="Times New Roman"/>
        </w:rPr>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Paul Radcliffe</w:t>
      </w:r>
    </w:p>
    <w:p>
      <w:pPr>
        <w:pStyle w:val="Normal"/>
        <w:rPr>
          <w:rFonts w:ascii="Times New Roman" w:hAnsi="Times New Roman" w:cs="Times New Roman"/>
        </w:rPr>
      </w:pPr>
      <w:r>
        <w:rPr>
          <w:rFonts w:cs="Times New Roman" w:ascii="Times New Roman" w:hAnsi="Times New Roman"/>
        </w:rPr>
        <w:t>Integration Manager</w:t>
      </w:r>
    </w:p>
    <w:p>
      <w:pPr>
        <w:pStyle w:val="Normal"/>
        <w:rPr>
          <w:rFonts w:ascii="Times New Roman" w:hAnsi="Times New Roman" w:cs="Times New Roman"/>
        </w:rPr>
      </w:pPr>
      <w:r>
        <w:rPr>
          <w:rFonts w:cs="Times New Roman" w:ascii="Times New Roman" w:hAnsi="Times New Roman"/>
        </w:rPr>
        <w:t>EPRI</w:t>
      </w:r>
    </w:p>
    <w:p>
      <w:pPr>
        <w:pStyle w:val="Normal"/>
        <w:rPr>
          <w:rFonts w:ascii="Times New Roman" w:hAnsi="Times New Roman" w:cs="Times New Roman"/>
        </w:rPr>
      </w:pPr>
      <w:r>
        <w:rPr>
          <w:rFonts w:cs="Times New Roman" w:ascii="Times New Roman" w:hAnsi="Times New Roman"/>
        </w:rPr>
        <w:t>3412 Hillview Avenue</w:t>
      </w:r>
    </w:p>
    <w:p>
      <w:pPr>
        <w:pStyle w:val="Normal"/>
        <w:rPr>
          <w:rFonts w:ascii="Times New Roman" w:hAnsi="Times New Roman" w:cs="Times New Roman"/>
        </w:rPr>
      </w:pPr>
      <w:r>
        <w:rPr>
          <w:rFonts w:cs="Times New Roman" w:ascii="Times New Roman" w:hAnsi="Times New Roman"/>
        </w:rPr>
        <w:t>Palo Alto, CA 94304</w:t>
      </w:r>
    </w:p>
    <w:sectPr>
      <w:headerReference w:type="default" r:id="rId2"/>
      <w:headerReference w:type="first" r:id="rId3"/>
      <w:footerReference w:type="default" r:id="rId4"/>
      <w:footerReference w:type="first" r:id="rId5"/>
      <w:type w:val="nextPage"/>
      <w:pgSz w:w="12240" w:h="15840"/>
      <w:pgMar w:left="1440" w:right="1440" w:gutter="0" w:header="1080" w:top="2160" w:footer="720" w:bottom="172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rPr>
      <w:drawing>
        <wp:inline distT="0" distB="0" distL="0" distR="0">
          <wp:extent cx="5791200" cy="1905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1" t="-28" r="-1" b="-28"/>
                  <a:stretch>
                    <a:fillRect/>
                  </a:stretch>
                </pic:blipFill>
                <pic:spPr bwMode="auto">
                  <a:xfrm>
                    <a:off x="0" y="0"/>
                    <a:ext cx="5791200" cy="19050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fldChar w:fldCharType="begin"/>
    </w:r>
    <w:r>
      <w:rPr/>
      <w:instrText xml:space="preserve"> REF addressee \h </w:instrText>
    </w:r>
    <w:r>
      <w:rPr/>
      <w:fldChar w:fldCharType="separate"/>
    </w:r>
    <w:r>
      <w:rPr/>
      <w:t>Error: Reference source not found</w:t>
    </w:r>
    <w:r>
      <w:rPr/>
      <w:fldChar w:fldCharType="end"/>
    </w:r>
    <w:r>
      <w:rPr/>
      <w:fldChar w:fldCharType="begin"/>
    </w:r>
    <w:r>
      <w:rPr/>
      <w:instrText xml:space="preserve"> REF date \h </w:instrText>
    </w:r>
    <w:r>
      <w:rPr/>
      <w:fldChar w:fldCharType="separate"/>
    </w:r>
    <w:r>
      <w:rPr/>
      <w:t>October 12, 2001</w:t>
    </w:r>
    <w:r>
      <w:rPr/>
      <w:fldChar w:fldCharType="end"/>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rPr>
      <w:tab/>
      <w:tab/>
    </w:r>
    <w:r>
      <w:rPr>
        <w:rFonts w:cs="Times New Roman" w:ascii="Times New Roman" w:hAnsi="Times New Roman"/>
      </w:rPr>
      <w:drawing>
        <wp:inline distT="0" distB="0" distL="0" distR="0">
          <wp:extent cx="1143000" cy="2286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31" t="-157" r="-31" b="-157"/>
                  <a:stretch>
                    <a:fillRect/>
                  </a:stretch>
                </pic:blipFill>
                <pic:spPr bwMode="auto">
                  <a:xfrm>
                    <a:off x="0" y="0"/>
                    <a:ext cx="1143000" cy="228600"/>
                  </a:xfrm>
                  <a:prstGeom prst="rect">
                    <a:avLst/>
                  </a:prstGeom>
                  <a:noFill/>
                </pic:spPr>
              </pic:pic>
            </a:graphicData>
          </a:graphic>
        </wp:inline>
      </w:drawing>
    </w:r>
    <w:r>
      <mc:AlternateContent>
        <mc:Choice Requires="wps">
          <w:drawing>
            <wp:anchor behindDoc="1" distT="0" distB="0" distL="114935" distR="114935" simplePos="0" locked="0" layoutInCell="1" allowOverlap="1" relativeHeight="4">
              <wp:simplePos x="0" y="0"/>
              <wp:positionH relativeFrom="column">
                <wp:posOffset>-91440</wp:posOffset>
              </wp:positionH>
              <wp:positionV relativeFrom="paragraph">
                <wp:posOffset>-27305</wp:posOffset>
              </wp:positionV>
              <wp:extent cx="2741295" cy="457200"/>
              <wp:effectExtent l="0" t="0" r="0" b="0"/>
              <wp:wrapNone/>
              <wp:docPr id="2" name="Frame1"/>
              <a:graphic xmlns:a="http://schemas.openxmlformats.org/drawingml/2006/main">
                <a:graphicData uri="http://schemas.microsoft.com/office/word/2010/wordprocessingShape">
                  <wps:wsp>
                    <wps:cNvSpPr txBox="1"/>
                    <wps:spPr>
                      <a:xfrm>
                        <a:off x="0" y="0"/>
                        <a:ext cx="2741295" cy="457200"/>
                      </a:xfrm>
                      <a:prstGeom prst="rect"/>
                      <a:solidFill>
                        <a:srgbClr val="FFFFFF">
                          <a:alpha val="0"/>
                        </a:srgbClr>
                      </a:solidFill>
                    </wps:spPr>
                    <wps:txbx>
                      <w:txbxContent>
                        <w:p>
                          <w:pPr>
                            <w:pStyle w:val="Header"/>
                            <w:tabs>
                              <w:tab w:val="clear" w:pos="4320"/>
                              <w:tab w:val="clear" w:pos="8640"/>
                            </w:tabs>
                            <w:rPr/>
                          </w:pPr>
                          <w:r>
                            <w:rPr/>
                            <w:drawing>
                              <wp:inline distT="0" distB="0" distL="0" distR="0">
                                <wp:extent cx="2457450" cy="13271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5" t="-269" r="-15" b="-269"/>
                                        <a:stretch>
                                          <a:fillRect/>
                                        </a:stretch>
                                      </pic:blipFill>
                                      <pic:spPr bwMode="auto">
                                        <a:xfrm>
                                          <a:off x="0" y="0"/>
                                          <a:ext cx="2457450" cy="13271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15.85pt;height:36pt;mso-wrap-distance-left:9.05pt;mso-wrap-distance-right:9.05pt;mso-wrap-distance-top:0pt;mso-wrap-distance-bottom:0pt;margin-top:-2.15pt;mso-position-vertical-relative:text;margin-left:-7.2pt;mso-position-horizontal-relative:text">
              <v:fill opacity="0f"/>
              <v:textbox inset="0.100694444444444in,0.0506944444444444in,0.100694444444444in,0.0506944444444444in">
                <w:txbxContent>
                  <w:p>
                    <w:pPr>
                      <w:pStyle w:val="Header"/>
                      <w:tabs>
                        <w:tab w:val="clear" w:pos="4320"/>
                        <w:tab w:val="clear" w:pos="8640"/>
                      </w:tabs>
                      <w:rPr/>
                    </w:pPr>
                    <w:r>
                      <w:rPr/>
                      <w:drawing>
                        <wp:inline distT="0" distB="0" distL="0" distR="0">
                          <wp:extent cx="2457450" cy="13271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3"/>
                                  <a:srcRect l="-15" t="-269" r="-15" b="-269"/>
                                  <a:stretch>
                                    <a:fillRect/>
                                  </a:stretch>
                                </pic:blipFill>
                                <pic:spPr bwMode="auto">
                                  <a:xfrm>
                                    <a:off x="0" y="0"/>
                                    <a:ext cx="2457450" cy="132715"/>
                                  </a:xfrm>
                                  <a:prstGeom prst="rect">
                                    <a:avLst/>
                                  </a:prstGeom>
                                  <a:noFill/>
                                </pic:spPr>
                              </pic:pic>
                            </a:graphicData>
                          </a:graphic>
                        </wp:inline>
                      </w:drawing>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png"/><Relationship Id="rId3"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2001-10-12T19:38:00Z</dcterms:created>
  <dc:creator>epri</dc:creator>
  <dc:description/>
  <dc:language>en-CA</dc:language>
  <cp:lastModifiedBy>Paul Radcliffe</cp:lastModifiedBy>
  <cp:lastPrinted>2001-10-15T12:58:00Z</cp:lastPrinted>
  <dcterms:modified xsi:type="dcterms:W3CDTF">2001-10-15T17:29:00Z</dcterms:modified>
  <cp:revision>7</cp:revision>
  <dc:subject/>
  <dc:title>[Date click to type]           </dc:title>
</cp:coreProperties>
</file>