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b/>
          <w:caps/>
          <w:sz w:val="20"/>
          <w:u w:val="single"/>
        </w:rPr>
      </w:pPr>
      <w:r>
        <w:rPr>
          <w:b/>
          <w:caps/>
          <w:sz w:val="20"/>
          <w:u w:val="single"/>
        </w:rPr>
        <w:t>Request for Advice</w:t>
      </w:r>
    </w:p>
    <w:p>
      <w:pPr>
        <w:pStyle w:val="Heading4"/>
        <w:ind w:hanging="0" w:start="0"/>
        <w:jc w:val="center"/>
        <w:rPr>
          <w:b/>
          <w:i/>
          <w:i/>
          <w:caps/>
          <w:sz w:val="20"/>
          <w:u w:val="single"/>
        </w:rPr>
      </w:pPr>
      <w:r>
        <w:rPr>
          <w:b/>
          <w:i/>
          <w:caps/>
          <w:sz w:val="20"/>
          <w:u w:val="single"/>
        </w:rPr>
      </w:r>
    </w:p>
    <w:p>
      <w:pPr>
        <w:pStyle w:val="Heading4"/>
        <w:ind w:hanging="0" w:start="0"/>
        <w:jc w:val="center"/>
        <w:rPr>
          <w:b/>
          <w:caps/>
          <w:sz w:val="20"/>
          <w:u w:val="single"/>
        </w:rPr>
      </w:pPr>
      <w:r>
        <w:rPr>
          <w:b/>
          <w:caps/>
          <w:sz w:val="20"/>
          <w:u w:val="single"/>
        </w:rPr>
        <w:t>Trading in Japanese Weather THROUGH EnronOnline</w:t>
      </w:r>
    </w:p>
    <w:p>
      <w:pPr>
        <w:pStyle w:val="Normal"/>
        <w:jc w:val="both"/>
        <w:rPr>
          <w:rFonts w:ascii="Arial" w:hAnsi="Arial" w:cs="Arial"/>
          <w:b/>
          <w:caps/>
          <w:sz w:val="20"/>
          <w:u w:val="single"/>
        </w:rPr>
      </w:pPr>
      <w:r>
        <w:rPr>
          <w:rFonts w:cs="Arial" w:ascii="Arial" w:hAnsi="Arial"/>
          <w:b/>
          <w:caps/>
          <w:sz w:val="20"/>
          <w:u w:val="single"/>
        </w:rPr>
      </w:r>
    </w:p>
    <w:p>
      <w:pPr>
        <w:pStyle w:val="Heading5"/>
        <w:ind w:hanging="0" w:start="0"/>
        <w:rPr>
          <w:u w:val="single"/>
        </w:rPr>
      </w:pPr>
      <w:r>
        <w:rPr>
          <w:u w:val="single"/>
        </w:rPr>
        <w:t>Background</w:t>
      </w:r>
    </w:p>
    <w:p>
      <w:pPr>
        <w:pStyle w:val="Normal"/>
        <w:jc w:val="both"/>
        <w:rPr>
          <w:rFonts w:ascii="Arial" w:hAnsi="Arial" w:cs="Arial"/>
          <w:b/>
          <w:u w:val="single"/>
        </w:rPr>
      </w:pPr>
      <w:r>
        <w:rPr>
          <w:rFonts w:cs="Arial" w:ascii="Arial" w:hAnsi="Arial"/>
          <w:b/>
          <w:u w:val="single"/>
        </w:rPr>
      </w:r>
    </w:p>
    <w:p>
      <w:pPr>
        <w:pStyle w:val="BodyText"/>
        <w:numPr>
          <w:ilvl w:val="0"/>
          <w:numId w:val="3"/>
        </w:numPr>
        <w:jc w:val="both"/>
        <w:rPr>
          <w:b w:val="false"/>
          <w:i w:val="false"/>
          <w:i w:val="false"/>
          <w:sz w:val="20"/>
        </w:rPr>
      </w:pPr>
      <w:r>
        <w:rPr>
          <w:b w:val="false"/>
          <w:i w:val="false"/>
          <w:sz w:val="20"/>
        </w:rPr>
        <w:t xml:space="preserve">Enron Corp. has developed an online trading system using the internet for a number of physical products and financial derivatives which it or its subsidiaries trade.  This system is called EnronOnline.  A preview of the system is available on the internet at </w:t>
      </w:r>
      <w:hyperlink r:id="rId2">
        <w:r>
          <w:rPr>
            <w:rStyle w:val="Hyperlink"/>
            <w:b/>
            <w:i/>
            <w:sz w:val="20"/>
          </w:rPr>
          <w:t>www.enrononline.com</w:t>
        </w:r>
      </w:hyperlink>
    </w:p>
    <w:p>
      <w:pPr>
        <w:pStyle w:val="BodyText"/>
        <w:jc w:val="both"/>
        <w:rPr>
          <w:b w:val="false"/>
          <w:i w:val="false"/>
          <w:i w:val="false"/>
          <w:sz w:val="20"/>
        </w:rPr>
      </w:pPr>
      <w:r>
        <w:rPr>
          <w:b w:val="false"/>
          <w:i w:val="false"/>
          <w:sz w:val="20"/>
        </w:rPr>
      </w:r>
    </w:p>
    <w:p>
      <w:pPr>
        <w:pStyle w:val="BodyText"/>
        <w:numPr>
          <w:ilvl w:val="0"/>
          <w:numId w:val="3"/>
        </w:numPr>
        <w:jc w:val="both"/>
        <w:rPr>
          <w:b w:val="false"/>
          <w:i w:val="false"/>
          <w:i w:val="false"/>
          <w:sz w:val="20"/>
        </w:rPr>
      </w:pPr>
      <w:r>
        <w:rPr>
          <w:b w:val="false"/>
          <w:i w:val="false"/>
          <w:sz w:val="20"/>
        </w:rPr>
        <w:t>One category of product traded through EnronOnline is weather derivatives.  Although there are differing types of weather derivatives they all have a floating price linked to meteorological readings (e.g. temperature, precipitation).</w:t>
      </w:r>
    </w:p>
    <w:p>
      <w:pPr>
        <w:pStyle w:val="BodyText"/>
        <w:jc w:val="both"/>
        <w:rPr>
          <w:b w:val="false"/>
          <w:i w:val="false"/>
          <w:i w:val="false"/>
          <w:sz w:val="20"/>
        </w:rPr>
      </w:pPr>
      <w:r>
        <w:rPr>
          <w:b w:val="false"/>
          <w:i w:val="false"/>
          <w:sz w:val="20"/>
        </w:rPr>
      </w:r>
    </w:p>
    <w:p>
      <w:pPr>
        <w:pStyle w:val="BodyText"/>
        <w:numPr>
          <w:ilvl w:val="0"/>
          <w:numId w:val="3"/>
        </w:numPr>
        <w:jc w:val="both"/>
        <w:rPr>
          <w:b w:val="false"/>
          <w:i w:val="false"/>
          <w:i w:val="false"/>
          <w:sz w:val="20"/>
        </w:rPr>
      </w:pPr>
      <w:r>
        <w:rPr>
          <w:b w:val="false"/>
          <w:i w:val="false"/>
          <w:sz w:val="20"/>
        </w:rPr>
        <w:t>Enron proposes to offer weather derivatives linked to meteorological readings for Tokyo and Osaka (and potentially for other Japanese and foreign cities) to counterparties resident in Japan.  Initially the Enron contracting entity will be a wholly owned subsidiary of Enron Corp. that is incorporated in a country other than Japan and that has no presence in Japan.  Later, the Enron contracting entity may be a Japanese resident corporation.</w:t>
      </w:r>
    </w:p>
    <w:p>
      <w:pPr>
        <w:pStyle w:val="BodyText"/>
        <w:jc w:val="both"/>
        <w:rPr>
          <w:b w:val="false"/>
          <w:i w:val="false"/>
          <w:i w:val="false"/>
          <w:sz w:val="20"/>
        </w:rPr>
      </w:pPr>
      <w:r>
        <w:rPr>
          <w:b w:val="false"/>
          <w:i w:val="false"/>
          <w:sz w:val="20"/>
        </w:rPr>
      </w:r>
    </w:p>
    <w:p>
      <w:pPr>
        <w:pStyle w:val="BodyText"/>
        <w:numPr>
          <w:ilvl w:val="0"/>
          <w:numId w:val="3"/>
        </w:numPr>
        <w:jc w:val="both"/>
        <w:rPr>
          <w:b w:val="false"/>
          <w:i w:val="false"/>
          <w:i w:val="false"/>
          <w:sz w:val="20"/>
        </w:rPr>
      </w:pPr>
      <w:r>
        <w:rPr>
          <w:b w:val="false"/>
          <w:i w:val="false"/>
          <w:sz w:val="20"/>
        </w:rPr>
        <w:t xml:space="preserve">In your advice dated [       ] 2000 you indicated that there would be no legal impediment to Enron trading weather derivatives in Japan.  We would ask that you expand on that advice. </w:t>
      </w:r>
    </w:p>
    <w:p>
      <w:pPr>
        <w:pStyle w:val="Heading1"/>
        <w:ind w:hanging="0" w:start="0"/>
        <w:jc w:val="both"/>
        <w:rPr>
          <w:rFonts w:ascii="Arial" w:hAnsi="Arial" w:cs="Arial"/>
          <w:caps w:val="false"/>
          <w:smallCaps w:val="false"/>
          <w:sz w:val="20"/>
          <w:u w:val="single"/>
        </w:rPr>
      </w:pPr>
      <w:r>
        <w:rPr>
          <w:rFonts w:cs="Arial" w:ascii="Arial" w:hAnsi="Arial"/>
          <w:caps w:val="false"/>
          <w:smallCaps w:val="false"/>
          <w:sz w:val="20"/>
          <w:u w:val="single"/>
        </w:rPr>
        <w:t>Operation of EnronOnline</w:t>
      </w:r>
    </w:p>
    <w:p>
      <w:pPr>
        <w:pStyle w:val="Normal"/>
        <w:jc w:val="both"/>
        <w:rPr>
          <w:rFonts w:ascii="Arial" w:hAnsi="Arial" w:cs="Arial"/>
          <w:caps/>
          <w:sz w:val="20"/>
          <w:u w:val="single"/>
        </w:rPr>
      </w:pPr>
      <w:r>
        <w:rPr>
          <w:rFonts w:cs="Arial" w:ascii="Arial" w:hAnsi="Arial"/>
          <w:caps/>
          <w:sz w:val="20"/>
          <w:u w:val="single"/>
        </w:rPr>
      </w:r>
    </w:p>
    <w:p>
      <w:pPr>
        <w:pStyle w:val="Normal"/>
        <w:numPr>
          <w:ilvl w:val="0"/>
          <w:numId w:val="2"/>
        </w:numPr>
        <w:jc w:val="both"/>
        <w:rPr>
          <w:rFonts w:ascii="Arial" w:hAnsi="Arial" w:cs="Arial"/>
        </w:rPr>
      </w:pPr>
      <w:r>
        <w:rPr>
          <w:rFonts w:cs="Arial" w:ascii="Arial" w:hAnsi="Arial"/>
        </w:rPr>
        <w:t>EnronOnline allows counterparties to may make on line offers to Enron in respect of one of the products listed on the screen. Enron may accept this offer through an on line response thereby forming a contract.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A potential counterparty wishing to trade through EnronOnline contacts Enron and fills out a registration form. Enron will make its credit assessment on the counterparty. If accepted the counterparty is required to sign a password agreement and is issued a password.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The first time a counterparty logs onto the system with its approved password it will be required to agree to an electronic trading Agreement (ETA) by clicking the “I Agree” Box after scrolling thought the ETA.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For each traded product there will be available online a set of contract terms known as “General Terms and Conditions” (GTC).  The GTC is supplemented by a product description.  A draft product description for a weather derivative for a Japanese city is enclosed.  A sample GTC for an Australian weather derivative is also provided.  The GTCs for a Japanese city weather derivative would be similar but would reference Japanese weather stations.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A counterparty transacts through EnronOnline by “clicking” and submitting an online offer to Enron.  The offer may or may not be accepted by Enron. The counterparty will receive notification that either the trade was successful or that their offer was not accepted. The ETA specifies that acceptance occurs when the Enron message hits the server. </w:t>
      </w:r>
    </w:p>
    <w:p>
      <w:pPr>
        <w:pStyle w:val="BodyText"/>
        <w:jc w:val="both"/>
        <w:rPr>
          <w:rFonts w:ascii="Arial" w:hAnsi="Arial" w:cs="Arial"/>
          <w:b w:val="false"/>
          <w:i w:val="false"/>
          <w:i w:val="false"/>
          <w:sz w:val="20"/>
        </w:rPr>
      </w:pPr>
      <w:r>
        <w:rPr>
          <w:rFonts w:cs="Arial"/>
          <w:b w:val="false"/>
          <w:i w:val="false"/>
          <w:sz w:val="20"/>
        </w:rPr>
      </w:r>
    </w:p>
    <w:p>
      <w:pPr>
        <w:pStyle w:val="BodyText"/>
        <w:jc w:val="both"/>
        <w:rPr>
          <w:sz w:val="20"/>
        </w:rPr>
      </w:pPr>
      <w:r>
        <w:rPr>
          <w:sz w:val="20"/>
        </w:rPr>
        <w:t>Would you please advise on the following points.</w:t>
      </w:r>
    </w:p>
    <w:p>
      <w:pPr>
        <w:pStyle w:val="BodyText"/>
        <w:jc w:val="both"/>
        <w:rPr>
          <w:b w:val="false"/>
          <w:i w:val="false"/>
          <w:i w:val="false"/>
          <w:sz w:val="20"/>
        </w:rPr>
      </w:pPr>
      <w:r>
        <w:rPr>
          <w:b w:val="false"/>
          <w:i w:val="false"/>
          <w:sz w:val="20"/>
        </w:rPr>
      </w:r>
    </w:p>
    <w:p>
      <w:pPr>
        <w:pStyle w:val="BodyText"/>
        <w:numPr>
          <w:ilvl w:val="0"/>
          <w:numId w:val="5"/>
        </w:numPr>
        <w:jc w:val="both"/>
        <w:rPr>
          <w:b w:val="false"/>
          <w:i w:val="false"/>
          <w:i w:val="false"/>
          <w:sz w:val="20"/>
        </w:rPr>
      </w:pPr>
      <w:r>
        <w:rPr>
          <w:b w:val="false"/>
          <w:i w:val="false"/>
          <w:sz w:val="20"/>
        </w:rPr>
        <w:t>Are any regulatory approvals required to trade in weather derivatives where the counterparty is resident in Japan. Would you please consider the circumstance where the Enron contracting party to the weather derivative was (i) neither incorporated nor resident in Japan, (ii) incorporated or resident in Japan.</w:t>
      </w:r>
    </w:p>
    <w:p>
      <w:pPr>
        <w:pStyle w:val="BodyText"/>
        <w:jc w:val="both"/>
        <w:rPr>
          <w:b w:val="false"/>
          <w:i w:val="false"/>
          <w:i w:val="false"/>
          <w:sz w:val="20"/>
        </w:rPr>
      </w:pPr>
      <w:r>
        <w:rPr>
          <w:b w:val="false"/>
          <w:i w:val="false"/>
          <w:sz w:val="20"/>
        </w:rPr>
      </w:r>
    </w:p>
    <w:p>
      <w:pPr>
        <w:pStyle w:val="BodyText"/>
        <w:numPr>
          <w:ilvl w:val="0"/>
          <w:numId w:val="4"/>
        </w:numPr>
        <w:jc w:val="both"/>
        <w:rPr>
          <w:b w:val="false"/>
          <w:i w:val="false"/>
          <w:i w:val="false"/>
          <w:sz w:val="20"/>
        </w:rPr>
      </w:pPr>
      <w:r>
        <w:rPr>
          <w:b w:val="false"/>
          <w:i w:val="false"/>
          <w:sz w:val="20"/>
        </w:rPr>
        <w:t>Would a weather derivative constitute insurance and as a consequence be subject to any restrictions/regulation relating to insurance.</w:t>
      </w:r>
    </w:p>
    <w:p>
      <w:pPr>
        <w:pStyle w:val="BodyText"/>
        <w:jc w:val="both"/>
        <w:rPr>
          <w:b w:val="false"/>
          <w:i w:val="false"/>
          <w:i w:val="false"/>
          <w:sz w:val="20"/>
        </w:rPr>
      </w:pPr>
      <w:r>
        <w:rPr>
          <w:b w:val="false"/>
          <w:i w:val="false"/>
          <w:sz w:val="20"/>
        </w:rPr>
      </w:r>
    </w:p>
    <w:p>
      <w:pPr>
        <w:pStyle w:val="BodyText"/>
        <w:numPr>
          <w:ilvl w:val="0"/>
          <w:numId w:val="4"/>
        </w:numPr>
        <w:jc w:val="both"/>
        <w:rPr>
          <w:b w:val="false"/>
          <w:i w:val="false"/>
          <w:i w:val="false"/>
          <w:sz w:val="20"/>
        </w:rPr>
      </w:pPr>
      <w:r>
        <w:rPr>
          <w:b w:val="false"/>
          <w:i w:val="false"/>
          <w:sz w:val="20"/>
        </w:rPr>
        <w:t>Any impact legislation regulating gambling may have on these products.</w:t>
      </w:r>
    </w:p>
    <w:p>
      <w:pPr>
        <w:pStyle w:val="BodyText"/>
        <w:jc w:val="both"/>
        <w:rPr>
          <w:b w:val="false"/>
          <w:i w:val="false"/>
          <w:i w:val="false"/>
          <w:sz w:val="20"/>
        </w:rPr>
      </w:pPr>
      <w:r>
        <w:rPr>
          <w:b w:val="false"/>
          <w:i w:val="false"/>
          <w:sz w:val="20"/>
        </w:rPr>
      </w:r>
    </w:p>
    <w:p>
      <w:pPr>
        <w:pStyle w:val="BodyText"/>
        <w:numPr>
          <w:ilvl w:val="0"/>
          <w:numId w:val="4"/>
        </w:numPr>
        <w:jc w:val="both"/>
        <w:rPr>
          <w:b w:val="false"/>
          <w:i w:val="false"/>
          <w:i w:val="false"/>
          <w:sz w:val="20"/>
        </w:rPr>
      </w:pPr>
      <w:r>
        <w:rPr>
          <w:b w:val="false"/>
          <w:i w:val="false"/>
          <w:sz w:val="20"/>
        </w:rPr>
        <w:t>Would there be any transaction taxes applying to weather derivatives.</w:t>
      </w:r>
    </w:p>
    <w:p>
      <w:pPr>
        <w:pStyle w:val="BodyText"/>
        <w:jc w:val="both"/>
        <w:rPr>
          <w:b w:val="false"/>
          <w:i w:val="false"/>
          <w:i w:val="false"/>
          <w:sz w:val="20"/>
        </w:rPr>
      </w:pPr>
      <w:r>
        <w:rPr>
          <w:b w:val="false"/>
          <w:i w:val="false"/>
          <w:sz w:val="20"/>
        </w:rPr>
      </w:r>
    </w:p>
    <w:p>
      <w:pPr>
        <w:pStyle w:val="BodyText"/>
        <w:numPr>
          <w:ilvl w:val="0"/>
          <w:numId w:val="4"/>
        </w:numPr>
        <w:jc w:val="both"/>
        <w:rPr>
          <w:b w:val="false"/>
          <w:i w:val="false"/>
          <w:i w:val="false"/>
          <w:sz w:val="20"/>
        </w:rPr>
      </w:pPr>
      <w:r>
        <w:rPr>
          <w:b w:val="false"/>
          <w:i w:val="false"/>
          <w:sz w:val="20"/>
        </w:rPr>
        <w:t>Any restrictions on the types of companies that would be able to enter into these transactions.</w:t>
      </w:r>
    </w:p>
    <w:p>
      <w:pPr>
        <w:pStyle w:val="BodyText"/>
        <w:jc w:val="both"/>
        <w:rPr>
          <w:b w:val="false"/>
          <w:i w:val="false"/>
          <w:i w:val="false"/>
          <w:sz w:val="20"/>
        </w:rPr>
      </w:pPr>
      <w:r>
        <w:rPr>
          <w:b w:val="false"/>
          <w:i w:val="false"/>
          <w:sz w:val="20"/>
        </w:rPr>
      </w:r>
    </w:p>
    <w:p>
      <w:pPr>
        <w:pStyle w:val="BodyText"/>
        <w:numPr>
          <w:ilvl w:val="0"/>
          <w:numId w:val="4"/>
        </w:numPr>
        <w:jc w:val="both"/>
        <w:rPr>
          <w:b w:val="false"/>
          <w:i w:val="false"/>
          <w:i w:val="false"/>
          <w:sz w:val="20"/>
        </w:rPr>
      </w:pPr>
      <w:r>
        <w:rPr>
          <w:b w:val="false"/>
          <w:i w:val="false"/>
          <w:sz w:val="20"/>
        </w:rPr>
        <w:t xml:space="preserve">Any parts of your [      ] 2000 advice that may need to be amended to apply to weather derivatives. </w:t>
      </w:r>
    </w:p>
    <w:p>
      <w:pPr>
        <w:pStyle w:val="BodyText"/>
        <w:jc w:val="both"/>
        <w:rPr>
          <w:b w:val="false"/>
          <w:i w:val="false"/>
          <w:i w:val="false"/>
          <w:sz w:val="20"/>
        </w:rPr>
      </w:pPr>
      <w:r>
        <w:rPr>
          <w:b w:val="false"/>
          <w:i w:val="false"/>
          <w:sz w:val="20"/>
        </w:rPr>
      </w:r>
    </w:p>
    <w:p>
      <w:pPr>
        <w:pStyle w:val="BodyText"/>
        <w:jc w:val="both"/>
        <w:rPr>
          <w:b w:val="false"/>
          <w:i w:val="false"/>
          <w:i w:val="false"/>
          <w:sz w:val="20"/>
        </w:rPr>
      </w:pPr>
      <w:r>
        <w:rPr>
          <w:b w:val="false"/>
          <w:i w:val="false"/>
          <w:sz w:val="20"/>
        </w:rPr>
      </w:r>
    </w:p>
    <w:p>
      <w:pPr>
        <w:pStyle w:val="BodyText"/>
        <w:jc w:val="both"/>
        <w:rPr>
          <w:b w:val="false"/>
          <w:i w:val="false"/>
          <w:i w:val="false"/>
          <w:sz w:val="20"/>
        </w:rPr>
      </w:pPr>
      <w:r>
        <w:rPr>
          <w:b w:val="false"/>
          <w:i w:val="false"/>
          <w:sz w:val="20"/>
        </w:rPr>
        <w:t>DJM</w:t>
      </w:r>
    </w:p>
    <w:p>
      <w:pPr>
        <w:pStyle w:val="BodyText"/>
        <w:jc w:val="both"/>
        <w:rPr>
          <w:b w:val="false"/>
          <w:i w:val="false"/>
          <w:i w:val="false"/>
          <w:sz w:val="20"/>
        </w:rPr>
      </w:pPr>
      <w:r>
        <w:rPr>
          <w:b w:val="false"/>
          <w:i w:val="false"/>
          <w:sz w:val="20"/>
        </w:rPr>
        <w:t>30 May 2000</w:t>
      </w:r>
    </w:p>
    <w:sectPr>
      <w:footerReference w:type="default" r:id="rId3"/>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lang w:eastAsia="en-US"/>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/mnt/main-storage/datasets/enron-docs/doc/Advice_Request___Japan_260500.doc</w:t>
    </w:r>
    <w:r>
      <w:rPr>
        <w:sz w:val="16"/>
        <w:rFonts w:cs="Arial" w:ascii="Arial" w:hAnsi="Arial"/>
        <w:lang w:eastAsia="en-US"/>
      </w:rPr>
      <w:fldChar w:fldCharType="end"/>
    </w:r>
  </w:p>
  <w:p>
    <w:pPr>
      <w:pStyle w:val="Footer"/>
      <w:rPr>
        <w:rFonts w:ascii="Arial" w:hAnsi="Arial" w:cs="Arial"/>
        <w:sz w:val="16"/>
        <w:lang w:eastAsia="en-US"/>
      </w:rPr>
    </w:pPr>
    <w:r>
      <w:rPr>
        <w:rFonts w:cs="Arial" w:ascii="Arial" w:hAnsi="Arial"/>
        <w:sz w:val="16"/>
        <w:lang w:eastAsia="en-US"/>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spacing w:before="240" w:after="60"/>
      <w:outlineLvl w:val="0"/>
    </w:pPr>
    <w:rPr>
      <w:b/>
      <w:caps/>
      <w:kern w:val="2"/>
      <w:sz w:val="24"/>
    </w:rPr>
  </w:style>
  <w:style w:type="paragraph" w:styleId="Heading2">
    <w:name w:val="heading 2"/>
    <w:basedOn w:val="Normal"/>
    <w:next w:val="Normal"/>
    <w:qFormat/>
    <w:pPr>
      <w:keepNext w:val="true"/>
      <w:numPr>
        <w:ilvl w:val="1"/>
        <w:numId w:val="1"/>
      </w:numPr>
      <w:spacing w:before="240" w:after="60"/>
      <w:outlineLvl w:val="1"/>
    </w:pPr>
    <w:rPr>
      <w:b/>
      <w:sz w:val="24"/>
    </w:rPr>
  </w:style>
  <w:style w:type="paragraph" w:styleId="Heading3">
    <w:name w:val="heading 3"/>
    <w:basedOn w:val="Normal"/>
    <w:next w:val="Normal"/>
    <w:qFormat/>
    <w:pPr>
      <w:keepNext w:val="true"/>
      <w:numPr>
        <w:ilvl w:val="2"/>
        <w:numId w:val="1"/>
      </w:numPr>
      <w:spacing w:before="240" w:after="60"/>
      <w:outlineLvl w:val="2"/>
    </w:pPr>
    <w:rPr>
      <w:i/>
      <w:sz w:val="24"/>
    </w:rPr>
  </w:style>
  <w:style w:type="paragraph" w:styleId="Heading4">
    <w:name w:val="heading 4"/>
    <w:basedOn w:val="Normal"/>
    <w:next w:val="Normal"/>
    <w:qFormat/>
    <w:pPr>
      <w:keepNext w:val="true"/>
      <w:numPr>
        <w:ilvl w:val="3"/>
        <w:numId w:val="1"/>
      </w:numPr>
      <w:outlineLvl w:val="3"/>
    </w:pPr>
    <w:rPr>
      <w:rFonts w:ascii="Arial" w:hAnsi="Arial" w:cs="Arial"/>
      <w:sz w:val="24"/>
    </w:rPr>
  </w:style>
  <w:style w:type="paragraph" w:styleId="Heading5">
    <w:name w:val="heading 5"/>
    <w:basedOn w:val="Normal"/>
    <w:next w:val="Normal"/>
    <w:qFormat/>
    <w:pPr>
      <w:keepNext w:val="true"/>
      <w:numPr>
        <w:ilvl w:val="4"/>
        <w:numId w:val="1"/>
      </w:numPr>
      <w:jc w:val="both"/>
      <w:outlineLvl w:val="4"/>
    </w:pPr>
    <w:rPr>
      <w:rFonts w:ascii="Arial" w:hAnsi="Arial" w:cs="Arial"/>
      <w:b/>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2000-05-26T03:48:00Z</dcterms:created>
  <dc:creator>akeogh</dc:creator>
  <dc:description/>
  <dc:language>en-CA</dc:language>
  <cp:lastModifiedBy>David Minns</cp:lastModifiedBy>
  <cp:lastPrinted>2000-05-30T15:49:00Z</cp:lastPrinted>
  <dcterms:modified xsi:type="dcterms:W3CDTF">2000-05-30T04:02:00Z</dcterms:modified>
  <cp:revision>26</cp:revision>
  <dc:subject/>
  <dc:title>Request for Advice Trading in Japanese Weather Reviews “Enron Online”</dc:title>
</cp:coreProperties>
</file>