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28"/>
        </w:rPr>
      </w:pPr>
      <w:r>
        <w:rPr>
          <w:b/>
          <w:sz w:val="28"/>
        </w:rPr>
        <w:t>ENRON ADVISORY COUNCIL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Gavyn Davies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Goldman Sachs 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Dr. Pankaj Ghemawat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Harvard Business School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Robert E. Grady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The Carlisle Group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Gary Hamel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Strategos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William Kristol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The Weekly Standard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Dr. Lawrence Lindsey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American Enterprise Institute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Dr. Paul Portney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Resources for the Future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Dr. Irwin Stelzer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Irwin M. Stelzer Associates, Inc.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Robert Zoellick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German Marshall Fund of U.S.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2000-08-09T17:25:00Z</dcterms:created>
  <dc:creator>mmcvicke</dc:creator>
  <dc:description/>
  <dc:language>en-CA</dc:language>
  <cp:lastModifiedBy>mmcvicke</cp:lastModifiedBy>
  <dcterms:modified xsi:type="dcterms:W3CDTF">2000-08-09T17:29:00Z</dcterms:modified>
  <cp:revision>2</cp:revision>
  <dc:subject/>
  <dc:title>ENRON ADVISORY COUNCIL</dc:title>
</cp:coreProperties>
</file>