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are hereby adopted and approved, with the following amendments:</w:t>
      </w:r>
    </w:p>
    <w:p>
      <w:pPr>
        <w:pStyle w:val="Normal"/>
        <w:jc w:val="both"/>
        <w:rPr/>
      </w:pPr>
      <w:r>
        <w:rPr/>
      </w:r>
    </w:p>
    <w:p>
      <w:pPr>
        <w:pStyle w:val="Normal"/>
        <w:ind w:firstLine="720" w:end="0"/>
        <w:jc w:val="both"/>
        <w:rPr/>
      </w:pPr>
      <w:r>
        <w:rPr/>
        <w:t>1.</w:t>
        <w:tab/>
        <w:t>All references to ENA as Company are hereby deleted, and Company shall be ERMT LLC, a limited liability company organized under the law of the State of Delaware.  [NOTE: CHECK TO MAKE SURE THAT ENA IS COMPANY.  IF ENA IS NOT COMPANY AND INSTEAD IS CUSTOMER or ANOTHER TITLE, MAKE GLOBAL CHANGE OF ALL REFERENCES HEREIN FROM COMPANY TO APPROPRIATE TERM]</w:t>
      </w:r>
    </w:p>
    <w:p>
      <w:pPr>
        <w:pStyle w:val="Normal"/>
        <w:ind w:firstLine="720" w:end="0"/>
        <w:jc w:val="both"/>
        <w:rPr/>
      </w:pPr>
      <w:r>
        <w:rPr/>
      </w:r>
    </w:p>
    <w:p>
      <w:pPr>
        <w:pStyle w:val="Normal"/>
        <w:ind w:firstLine="720" w:end="0"/>
        <w:jc w:val="both"/>
        <w:rPr/>
      </w:pPr>
      <w:r>
        <w:rPr/>
        <w:t>2.</w:t>
        <w:tab/>
        <w:t xml:space="preserve">The definition of the term “Affiliate” set forth in the ENA/Counterparty Master Agreement is hereby amended in relation to Company to include only the wholly owned subsidiaries of Company.  In relation to Customer, the definition of the term “Affiliate” remains as is in the ENA/Counterparty Master Agreement. </w:t>
      </w:r>
    </w:p>
    <w:p>
      <w:pPr>
        <w:pStyle w:val="BodyTextIndent2"/>
        <w:ind w:start="0" w:end="0"/>
        <w:rPr/>
      </w:pPr>
      <w:r>
        <w:rPr/>
      </w:r>
    </w:p>
    <w:p>
      <w:pPr>
        <w:pStyle w:val="Normal"/>
        <w:jc w:val="both"/>
        <w:rPr/>
      </w:pPr>
      <w:r>
        <w:rPr/>
        <w:tab/>
        <w:t>3.</w:t>
        <w:tab/>
        <w:t xml:space="preserve">Credit Support Provider:  All references to Enron Corp. or any other entity as the Credit Support Provider [or Specified Entity] of Company are hereby deleted.  Credit Support Provider and [Specified Entity] means in relation to Company, none.  </w:t>
      </w:r>
    </w:p>
    <w:p>
      <w:pPr>
        <w:pStyle w:val="Normal"/>
        <w:jc w:val="both"/>
        <w:rPr/>
      </w:pPr>
      <w:r>
        <w:rPr/>
      </w:r>
    </w:p>
    <w:p>
      <w:pPr>
        <w:pStyle w:val="Normal"/>
        <w:jc w:val="both"/>
        <w:rPr/>
      </w:pPr>
      <w:r>
        <w:rPr/>
        <w:tab/>
        <w:t>4.</w:t>
        <w:tab/>
        <w:t>All references to the Guaranty of Enron Corp. or the Guaranty of Company’s Credit Support Provider are hereby deleted.</w:t>
      </w:r>
    </w:p>
    <w:p>
      <w:pPr>
        <w:pStyle w:val="Normal"/>
        <w:jc w:val="both"/>
        <w:rPr/>
      </w:pPr>
      <w:r>
        <w:rPr/>
      </w:r>
    </w:p>
    <w:p>
      <w:pPr>
        <w:pStyle w:val="Normal"/>
        <w:jc w:val="both"/>
        <w:rPr/>
      </w:pPr>
      <w:r>
        <w:rPr/>
        <w:tab/>
        <w:t xml:space="preserve">5. </w:t>
        <w:tab/>
        <w:t>All references to the Financial Statements of Enron Corp. or Company’s Credit Support Provider are hereby amended to refer to the Financial Statements of ERMT.</w:t>
      </w:r>
    </w:p>
    <w:p>
      <w:pPr>
        <w:pStyle w:val="Normal"/>
        <w:jc w:val="both"/>
        <w:rPr/>
      </w:pPr>
      <w:r>
        <w:rPr/>
      </w:r>
    </w:p>
    <w:p>
      <w:pPr>
        <w:pStyle w:val="Normal"/>
        <w:jc w:val="both"/>
        <w:rPr/>
      </w:pPr>
      <w:r>
        <w:rPr/>
        <w:tab/>
        <w:t>6.</w:t>
        <w:tab/>
        <w:t>The definition of the term “Threshold Amount” is amended by deleting any reference to “Company’s Credit Support Provider”.</w:t>
      </w:r>
    </w:p>
    <w:p>
      <w:pPr>
        <w:pStyle w:val="Normal"/>
        <w:jc w:val="both"/>
        <w:rPr/>
      </w:pPr>
      <w:r>
        <w:rPr/>
      </w:r>
    </w:p>
    <w:p>
      <w:pPr>
        <w:pStyle w:val="Normal"/>
        <w:jc w:val="both"/>
        <w:rPr/>
      </w:pPr>
      <w:r>
        <w:rPr/>
        <w:tab/>
        <w:t>7.</w:t>
        <w:tab/>
        <w:t>All references to the Credit Rating of Enron Corp. or the Credit Support Provider of Company are hereby amended to refer to the Credit Rating of ERMT.</w:t>
      </w:r>
    </w:p>
    <w:p>
      <w:pPr>
        <w:pStyle w:val="Normal"/>
        <w:jc w:val="both"/>
        <w:rPr/>
      </w:pPr>
      <w:r>
        <w:rPr/>
        <w:tab/>
        <w:t>8.</w:t>
        <w:tab/>
        <w:t>If not currently so provided, Section 4.1 shall deemed revised to provide as follows:  (i) all Transactions must be terminated and netted in computing the Termination Payment, (ii) Triggering Events relating to bankruptcy or similar proceeding shall not automatically terminate any Transactions, and (iii) when calculation of the Termination Payment results in a net amount being payable to the Affected Party, such amount shall be payable to the Affected Party.</w:t>
      </w:r>
    </w:p>
    <w:p>
      <w:pPr>
        <w:pStyle w:val="Normal"/>
        <w:jc w:val="both"/>
        <w:rPr/>
      </w:pPr>
      <w:r>
        <w:rPr/>
      </w:r>
    </w:p>
    <w:p>
      <w:pPr>
        <w:pStyle w:val="Normal"/>
        <w:jc w:val="both"/>
        <w:rPr/>
      </w:pPr>
      <w:r>
        <w:rPr/>
        <w:tab/>
        <w:t>9.</w:t>
        <w:tab/>
        <w:t>[Needed if Setoff has not been adopted in the ENA Counterparty Master] Section 4.4 “Offset”,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4.4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4.1,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4.1.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4.4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10.</w:t>
        <w:tab/>
        <w:t>The following shall be added to the Representations and Warranties contained in Appendix “1” Enfolio General provisions as (viii) and (ix) respectively::</w:t>
      </w:r>
    </w:p>
    <w:p>
      <w:pPr>
        <w:pStyle w:val="Normal"/>
        <w:jc w:val="both"/>
        <w:rPr/>
      </w:pPr>
      <w:r>
        <w:rPr/>
      </w:r>
    </w:p>
    <w:p>
      <w:pPr>
        <w:pStyle w:val="Normal"/>
        <w:tabs>
          <w:tab w:val="clear" w:pos="720"/>
          <w:tab w:val="left" w:pos="360" w:leader="none"/>
        </w:tabs>
        <w:spacing w:before="0" w:after="120"/>
        <w:ind w:start="720" w:end="720"/>
        <w:jc w:val="both"/>
        <w:rPr>
          <w:sz w:val="20"/>
        </w:rPr>
      </w:pPr>
      <w:r>
        <w:rPr>
          <w:sz w:val="20"/>
        </w:rPr>
        <w:t xml:space="preserve">"(viii)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center"/>
        <w:rPr/>
      </w:pPr>
      <w:r>
        <w:rPr/>
      </w:r>
    </w:p>
    <w:p>
      <w:pPr>
        <w:pStyle w:val="Normal"/>
        <w:jc w:val="both"/>
        <w:rPr/>
      </w:pPr>
      <w:r>
        <w:rPr/>
        <w:tab/>
        <w:t>The terms and conditions of the Collateral Annex are hereby adopted and approved, with the following amendments:</w:t>
      </w:r>
    </w:p>
    <w:p>
      <w:pPr>
        <w:pStyle w:val="Normal"/>
        <w:ind w:start="720" w:end="720"/>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2001-11-02T15:06:00Z</dcterms:created>
  <dc:creator>tjones</dc:creator>
  <dc:description/>
  <cp:keywords>NYC 362726.8 24571 00313 12/28/2000  4:27 PM</cp:keywords>
  <dc:language>en-CA</dc:language>
  <cp:lastModifiedBy>svanhoo</cp:lastModifiedBy>
  <cp:lastPrinted>2001-11-01T15:57:00Z</cp:lastPrinted>
  <dcterms:modified xsi:type="dcterms:W3CDTF">2001-11-02T15:07:00Z</dcterms:modified>
  <cp:revision>5</cp:revision>
  <dc:subject/>
  <dc:title>ASSIGNMENT AGREEMENT</dc:title>
</cp:coreProperties>
</file>