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In the proposed transaction, Enron North America Corp. ("Enron") will acquire, in a sale pursuant to Section 363 of the U.S. Bankruptcy code, all of Adobe Energy, Inc.'s ("Adobe") right, title and interest in and to that certain Oil and Gas Lease dated August 31, 1998, from Syble Day Thompson, Trustee of the Choice Thompson Family Trust and General Partner of the T.P. Ranch Limited Partnership, as lessor, and Adobe, as lessee, a memorandum of which is recorded in Volume 1157, Page 500 of the Official Public Records of Hardin County, Texas, as ratified and amended by that certain Ratification and Amendment of Oil and Gas Lease, dated May 24, 2000, and recorded in Volume 1228, page 847 of the Official Public Records of Hardin County, Texas (the "Subject Property"), all as described on the terms and conditions set forth in this Term Sheet.  Capitalized terms in this Term Sheet that are not defined have the meaning set forth in the letter of interest (the "Letter of Interest") to which this Term Sheet is attached.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Purchase Price:</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is willing to pay at closing a total of $400,000 for the Subject Properties (the "Purchase Price"); provided, however, that Enron shall be entitled to withhold from the Purchase Price and pay over directly to Adobe creditors any amounts (including costs of settlement of the TransTexas litigation and the Sullo litigation referenced below and related legal fees and expenses) necessary to ensure that Enron receives the Subject Property free and clear of all liens and claims.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Settlement of Pending Litigation: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Adobe is currently a party to litigation against [TransTexas] and [Sullo] in two separate proceedings.  Adobe must have obtained a full and final settlement of this litigation as a condition to Enron's purchase of the Subject Property, or must have obtained a complete release of the Subject Property from all interested parties in that litigation in form and substance satisfactory to Enron in its sole discretion.  [Enron will be primarily responsible for negotiating the terms of the settlement (although Enron may designate representatives of Hanson Production Company to assist it in this regard), and Adobe will agree to any settlement of the litigation for which the total settlement costs do not exceed $400,000].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Exclusivity Period/Purchase of Claims: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will have until March 30, 2001 to negotiate a settlement of the pending litigation.  During that period, Enron may also seek to purchase claims from Adobe creditors in the Adobe Proceedings.  As provided in the Letter of Interest, during that period Adobe will not take any action to sell, transfer or convey the Subject Property to any other person or entity, and will not take certain actions that would interfere with or hinder Enron's ability to purchase those such claims.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Enron's acquisition of the Subject Property would be closed upon satisfaction of all of the conditions to closing set forth below, but in no event later than _____ days from the date of Adobe’s execution of the Letter of Interest.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2"/>
              </w:numPr>
              <w:jc w:val="both"/>
              <w:rPr>
                <w:sz w:val="22"/>
              </w:rPr>
            </w:pPr>
            <w:r>
              <w:rPr>
                <w:sz w:val="22"/>
              </w:rPr>
              <w:t>compliance of the sale, to Enron's satisfaction, with all applicable requirements of Section 363 of the U.S. Bankruptcy Code;</w:t>
            </w:r>
          </w:p>
          <w:p>
            <w:pPr>
              <w:pStyle w:val="Normal"/>
              <w:numPr>
                <w:ilvl w:val="0"/>
                <w:numId w:val="2"/>
              </w:numPr>
              <w:jc w:val="both"/>
              <w:rPr>
                <w:sz w:val="22"/>
              </w:rPr>
            </w:pPr>
            <w:r>
              <w:rPr>
                <w:sz w:val="22"/>
              </w:rPr>
              <w:t>final settlement of the TransTexas litigation and the Sullo litigation on terms and conditions acceptable to Enron in its sole discretion (or, alternatively, full and complete release by the plaintiffs therein of any and all claims to the Subject Property);</w:t>
            </w:r>
          </w:p>
          <w:p>
            <w:pPr>
              <w:pStyle w:val="Normal"/>
              <w:numPr>
                <w:ilvl w:val="0"/>
                <w:numId w:val="2"/>
              </w:numPr>
              <w:jc w:val="both"/>
              <w:rPr>
                <w:sz w:val="22"/>
              </w:rPr>
            </w:pPr>
            <w:r>
              <w:rPr>
                <w:sz w:val="22"/>
              </w:rPr>
              <w:t>there shall be no order, statute, law, regulation, etc. prohibiting the Proposed Transaction;</w:t>
            </w:r>
          </w:p>
          <w:p>
            <w:pPr>
              <w:pStyle w:val="Normal"/>
              <w:numPr>
                <w:ilvl w:val="0"/>
                <w:numId w:val="2"/>
              </w:numPr>
              <w:jc w:val="both"/>
              <w:rPr>
                <w:sz w:val="22"/>
              </w:rPr>
            </w:pPr>
            <w:r>
              <w:rPr>
                <w:sz w:val="22"/>
              </w:rPr>
              <w:t>receipt of necessary consents and approvals, including Enron's internal corporate approvals and a consent to the sale, in form and substance satisfactory to Enron in its sole discretion, by [Gilbert Talefrese].</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O:legal/tmccull/loi/AdobeTS.doc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2000-12-20T19:29:00Z</dcterms:created>
  <dc:creator>tmccull</dc:creator>
  <dc:description/>
  <dc:language>en-CA</dc:language>
  <cp:lastModifiedBy>Travis McCullough</cp:lastModifiedBy>
  <cp:lastPrinted>2000-12-20T19:17:00Z</cp:lastPrinted>
  <dcterms:modified xsi:type="dcterms:W3CDTF">2000-12-20T22:48:00Z</dcterms:modified>
  <cp:revision>5</cp:revision>
  <dc:subject/>
  <dc:title>ATTACHMENT “A”</dc:title>
</cp:coreProperties>
</file>