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December 20,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Adobe Energy, Inc.</w:t>
      </w:r>
    </w:p>
    <w:p>
      <w:pPr>
        <w:pStyle w:val="Normal"/>
        <w:jc w:val="both"/>
        <w:rPr>
          <w:rFonts w:ascii="Times New Roman" w:hAnsi="Times New Roman" w:cs="Times New Roman"/>
          <w:sz w:val="22"/>
        </w:rPr>
      </w:pPr>
      <w:r>
        <w:rPr>
          <w:rFonts w:cs="Times New Roman" w:ascii="Times New Roman" w:hAnsi="Times New Roman"/>
          <w:sz w:val="22"/>
          <w:u w:val="single"/>
        </w:rPr>
        <w:tab/>
        <w:tab/>
        <w:tab/>
        <w:tab/>
      </w:r>
    </w:p>
    <w:p>
      <w:pPr>
        <w:pStyle w:val="Normal"/>
        <w:jc w:val="both"/>
        <w:rPr>
          <w:rFonts w:ascii="Times New Roman" w:hAnsi="Times New Roman" w:cs="Times New Roman"/>
          <w:sz w:val="22"/>
        </w:rPr>
      </w:pPr>
      <w:r>
        <w:rPr>
          <w:rFonts w:cs="Times New Roman" w:ascii="Times New Roman" w:hAnsi="Times New Roman"/>
          <w:sz w:val="22"/>
          <w:u w:val="single"/>
        </w:rPr>
        <w:tab/>
        <w:tab/>
        <w:tab/>
        <w:tab/>
      </w:r>
    </w:p>
    <w:p>
      <w:pPr>
        <w:pStyle w:val="Normal"/>
        <w:jc w:val="both"/>
        <w:rPr/>
      </w:pPr>
      <w:r>
        <w:rPr>
          <w:rFonts w:cs="Times New Roman" w:ascii="Times New Roman" w:hAnsi="Times New Roman"/>
          <w:sz w:val="22"/>
        </w:rPr>
        <w:t>Attn:</w:t>
        <w:tab/>
      </w:r>
      <w:r>
        <w:rPr>
          <w:rFonts w:cs="Times New Roman" w:ascii="Times New Roman" w:hAnsi="Times New Roman"/>
          <w:sz w:val="22"/>
          <w:u w:val="single"/>
        </w:rPr>
        <w:tab/>
        <w:tab/>
        <w:tab/>
      </w:r>
      <w:r>
        <w:rPr>
          <w:rFonts w:cs="Times New Roman" w:ascii="Times New Roman" w:hAnsi="Times New Roman"/>
          <w:sz w:val="22"/>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Interest</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interest of Enron North America Corp., a subsidiary of Enron Corp., or its designated affiliates (collectively, “Enron”) and Adobe Energy, Inc. (“Adobe”)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Adobe's right, title and interest in the oil and gas lease identified herein (the "Subject Property"), all in accordance with the terms and conditions set forth in this letter and the attached Term Sheet (the transactions described in this letter and Term Sheet are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pPr>
      <w:r>
        <w:rPr>
          <w:u w:val="single"/>
        </w:rPr>
        <w:t>Definitive Agreements</w:t>
      </w:r>
      <w:r>
        <w:rPr/>
        <w:t xml:space="preserve">. The parties shall endeavor to incorporate the terms and conditions expressed in this letter in mutually acceptable definitive agreements (the “Definitive Agreements”) and consummate the Transaction contemplated hereby no later than the date that is ninety (90) days from the date that this letter is executed by Adobe </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(the “Closing Date”).  In the event that Enron and Adobe are unable to execute the Definitive Agreements by the Closing Date, unless extended by mutual agreement of the parties, this letter shall be deemed terminated, and neither Enron nor Adobe shall have any further obligation to the other, except as provided in paragraphs 3, 4 and 5 below, which obligations shall survive the termination of this letter.</w:t>
      </w:r>
    </w:p>
    <w:p>
      <w:pPr>
        <w:pStyle w:val="BodyText"/>
        <w:rPr>
          <w:u w:val="single"/>
        </w:rPr>
      </w:pPr>
      <w:r>
        <w:rPr>
          <w:u w:val="single"/>
        </w:rPr>
      </w:r>
    </w:p>
    <w:p>
      <w:pPr>
        <w:pStyle w:val="BodyText"/>
        <w:numPr>
          <w:ilvl w:val="0"/>
          <w:numId w:val="2"/>
        </w:numPr>
        <w:rPr/>
      </w:pPr>
      <w:r>
        <w:rPr>
          <w:u w:val="single"/>
        </w:rPr>
        <w:t>Confidentiality</w:t>
      </w:r>
      <w:r>
        <w:rPr/>
        <w:t>.  The existence of this letter, the Attachment hereto, and their respective contents are intended to be confidential and are not to be discussed with or disclosed to any third party except (i) with the express prior written consent of the other party hereto, (ii) as may be required in response to any summons, subpoena or discovery order or to comply with any applicable law, order, regulation or ruling or (iii) as the parties, or their designees, reasonably deem appropriate in order to conduct due diligence, title or other investigation relating to the contemplated transactions.  Without limiting the foregoing, Adobe may not discuss or disclose this letter, the Attachment hereto, or their respective contents in connection with Adobe's bankruptcy proceedings currently pending in the United States Bankruptcy Court for the Southern District of Texas (the "Adobe Proceedings"), without Enron's prior written approval, except as such disclosure may be required in response to any summons, subpoena or discovery order or to comply with any applicable law, order, regulation or ruling.</w:t>
      </w:r>
    </w:p>
    <w:p>
      <w:pPr>
        <w:pStyle w:val="BodyText"/>
        <w:rPr/>
      </w:pPr>
      <w:r>
        <w:rPr/>
      </w:r>
    </w:p>
    <w:p>
      <w:pPr>
        <w:pStyle w:val="BodyText"/>
        <w:numPr>
          <w:ilvl w:val="0"/>
          <w:numId w:val="2"/>
        </w:numPr>
        <w:rPr/>
      </w:pPr>
      <w:r>
        <w:rPr>
          <w:u w:val="single"/>
        </w:rPr>
        <w:t>Exclusivity and Non-Interference</w:t>
      </w:r>
      <w:r>
        <w:rPr/>
        <w:t>.  In consideration for the efforts to be expended by Enron in connection with its evaluation of the Transaction and the other actions to be taken by Enron in connection therewith as set forth in the Attachment, [for a period of ninety (90) days from the date of execution hereof][until March 30, 2001], neither Adobe nor any of its affiliates shall (and Adobe shall take such actions to ensure that its affiliates shall not), directly or indirectly, enter into any contract or understanding with, enter into negotiations with, or disclose any information to, any other person or entity for the sale, encumbrance, or other transfer of any portion of Adobe's interest in the Subject Property.  Adobe also understands that Enron may seek to acquire claims of Adobe's creditors in the Adobe Proceedings, and in that regard, neither Adobe nor its affiliates shall (and Adobe shall take such actions to ensure that its affiliates shall not), directly or indirectly, (i) enter into any contract, understanding, or negotiations with any other person or entity for the purchase by Adobe or its affiliates of any claim in the Adobe Proceedings, (ii) facilitate, solicit, or encourage the purchase of claims by any person or entity other than Enron, or (ii) otherwise hinder or interfere with Enron's efforts to acquire such claims.</w:t>
      </w:r>
    </w:p>
    <w:p>
      <w:pPr>
        <w:pStyle w:val="BodyText"/>
        <w:rPr/>
      </w:pPr>
      <w:r>
        <w:rPr/>
      </w:r>
    </w:p>
    <w:p>
      <w:pPr>
        <w:pStyle w:val="BodyText"/>
        <w:numPr>
          <w:ilvl w:val="0"/>
          <w:numId w:val="2"/>
        </w:numPr>
        <w:rPr/>
      </w:pPr>
      <w:r>
        <w:rPr>
          <w:u w:val="single"/>
        </w:rPr>
        <w:t>Expenses</w:t>
      </w:r>
      <w:r>
        <w:rPr/>
        <w:t>.  Each of Adobe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BodyText"/>
        <w:rPr/>
      </w:pPr>
      <w:r>
        <w:rPr/>
      </w:r>
    </w:p>
    <w:p>
      <w:pPr>
        <w:pStyle w:val="BodyText"/>
        <w:numPr>
          <w:ilvl w:val="0"/>
          <w:numId w:val="2"/>
        </w:numPr>
        <w:rPr/>
      </w:pPr>
      <w:r>
        <w:rPr>
          <w:u w:val="single"/>
        </w:rPr>
        <w:t>Non-binding Nature</w:t>
      </w:r>
      <w:r>
        <w:rPr/>
        <w:t>.  Except as to the provisions of paragraphs 3, 4 and 5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BodyText"/>
        <w:rPr/>
      </w:pPr>
      <w:r>
        <w:rPr/>
      </w:r>
    </w:p>
    <w:p>
      <w:pPr>
        <w:pStyle w:val="BodyText"/>
        <w:numPr>
          <w:ilvl w:val="0"/>
          <w:numId w:val="2"/>
        </w:numPr>
        <w:rPr/>
      </w:pPr>
      <w:r>
        <w:rPr>
          <w:u w:val="single"/>
        </w:rPr>
        <w:t>Injunctive Relief</w:t>
      </w:r>
      <w:r>
        <w:rPr/>
        <w:t xml:space="preserve">.  Adobe understands and agrees that its violation of any of paragraphs 3, 4 or 5 could result in harm to Enron for which monetary damages may not provide adequate relief.  Accordingly, in addition to such other legal remedies as may be available to Enron at law, Enron shall be entitled to seek injunctive relief or other equitable remedies in order to enjoin any breach or threatened breach by Adobe of paragraphs 3, 4 or 5.  </w:t>
      </w:r>
    </w:p>
    <w:p>
      <w:pPr>
        <w:pStyle w:val="BodyText"/>
        <w:rPr/>
      </w:pPr>
      <w:r>
        <w:rPr/>
      </w:r>
    </w:p>
    <w:p>
      <w:pPr>
        <w:pStyle w:val="BodyText"/>
        <w:numPr>
          <w:ilvl w:val="0"/>
          <w:numId w:val="2"/>
        </w:numPr>
        <w:rPr/>
      </w:pPr>
      <w:r>
        <w:rPr>
          <w:u w:val="single"/>
        </w:rPr>
        <w:t>Conditions</w:t>
      </w:r>
      <w:r>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BodyText"/>
        <w:rPr/>
      </w:pPr>
      <w:r>
        <w:rPr/>
      </w:r>
    </w:p>
    <w:p>
      <w:pPr>
        <w:pStyle w:val="BodyText"/>
        <w:numPr>
          <w:ilvl w:val="0"/>
          <w:numId w:val="2"/>
        </w:numPr>
        <w:rPr/>
      </w:pPr>
      <w:r>
        <w:rPr>
          <w:u w:val="single"/>
        </w:rPr>
        <w:t>No Oral Agreements</w:t>
      </w:r>
      <w:r>
        <w:rPr/>
        <w:t>.  Subject to the foregoing, this letter and the Term Sheet set out the parties’ understanding as of this date, and there are no other written or oral agreements or understandings among the parties.</w:t>
      </w:r>
    </w:p>
    <w:p>
      <w:pPr>
        <w:pStyle w:val="BodyText"/>
        <w:rPr/>
      </w:pPr>
      <w:r>
        <w:rPr/>
      </w:r>
    </w:p>
    <w:p>
      <w:pPr>
        <w:pStyle w:val="BodyText"/>
        <w:numPr>
          <w:ilvl w:val="0"/>
          <w:numId w:val="2"/>
        </w:numPr>
        <w:rPr/>
      </w:pP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 xml:space="preserve">If the terms and conditions of this letter are in accord with your understanding, please sign and return the enclosed counterpart of this letter no later than December 29, </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NORTH AMERICA CORP.</w:t>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r>
        <w:br w:type="page"/>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ADOBE ENERGY, INC.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Title:</w:t>
        <w:tab/>
        <w:tab/>
      </w:r>
    </w:p>
    <w:sectPr>
      <w:headerReference w:type="default" r:id="rId2"/>
      <w:headerReference w:type="first" r:id="rId3"/>
      <w:type w:val="nextPage"/>
      <w:pgSz w:w="12240" w:h="15840"/>
      <w:pgMar w:left="1440" w:right="1440" w:gutter="0" w:header="720" w:top="1440" w:footer="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 xml:space="preserve">Adobe Energy, Inc. </w:t>
    </w:r>
  </w:p>
  <w:p>
    <w:pPr>
      <w:pStyle w:val="Header"/>
      <w:rPr>
        <w:sz w:val="22"/>
      </w:rPr>
    </w:pPr>
    <w:r>
      <w:rPr>
        <w:sz w:val="22"/>
      </w:rPr>
      <w:t>December 20,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9z0">
    <w:name w:val="WW8Num9z0"/>
    <w:qFormat/>
    <w:rPr>
      <w:rFonts w:ascii="Wingdings" w:hAnsi="Wingdings" w:cs="Wingdings"/>
      <w:sz w:val="24"/>
    </w:rPr>
  </w:style>
  <w:style w:type="character" w:styleId="WW8Num10z0">
    <w:name w:val="WW8Num10z0"/>
    <w:qFormat/>
    <w:rPr>
      <w:rFonts w:ascii="Wingdings" w:hAnsi="Wingdings" w:cs="Wingdings"/>
      <w:sz w:val="24"/>
    </w:rPr>
  </w:style>
  <w:style w:type="character" w:styleId="WW8Num11z0">
    <w:name w:val="WW8Num11z0"/>
    <w:qFormat/>
    <w:rPr/>
  </w:style>
  <w:style w:type="character" w:styleId="WW8Num12z0">
    <w:name w:val="WW8Num12z0"/>
    <w:qFormat/>
    <w:rPr>
      <w:rFonts w:ascii="Wingdings" w:hAnsi="Wingdings" w:cs="Wingdings"/>
      <w:sz w:val="24"/>
    </w:rPr>
  </w:style>
  <w:style w:type="character" w:styleId="WW8Num13z0">
    <w:name w:val="WW8Num13z0"/>
    <w:qFormat/>
    <w:rPr>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sz w:val="24"/>
    </w:rPr>
  </w:style>
  <w:style w:type="character" w:styleId="WW8Num19z0">
    <w:name w:val="WW8Num19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2000-12-20T17:30:00Z</dcterms:created>
  <dc:creator>carolyn creel</dc:creator>
  <dc:description/>
  <dc:language>en-CA</dc:language>
  <cp:lastModifiedBy>Travis McCullough</cp:lastModifiedBy>
  <cp:lastPrinted>2000-12-20T18:51:00Z</cp:lastPrinted>
  <dcterms:modified xsi:type="dcterms:W3CDTF">2000-12-20T22:21:00Z</dcterms:modified>
  <cp:revision>6</cp:revision>
  <dc:subject>short form</dc:subject>
  <dc:title>letter of understanding/Term Sheet</dc:title>
</cp:coreProperties>
</file>