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Additional Provision:  Party A and Party B agree that from November__, 2001</w:t>
      </w:r>
    </w:p>
    <w:p>
      <w:pPr>
        <w:pStyle w:val="Normal"/>
        <w:rPr/>
      </w:pPr>
      <w:r>
        <w:rPr/>
        <w:t xml:space="preserve">Through __, 2001 this Transaction shall not constitute a Transaction for purposes </w:t>
      </w:r>
    </w:p>
    <w:p>
      <w:pPr>
        <w:pStyle w:val="Normal"/>
        <w:rPr/>
      </w:pPr>
      <w:r>
        <w:rPr/>
        <w:t>Of the calculation of  “Exposure Amount “ and “ Not Exposure “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As such terms are defined in Annex A to the ISDA Master Agreement dated as of February 28, 1992 between Party A and Party B.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2001-11-02T17:03:00Z</dcterms:created>
  <dc:creator>lvargas2</dc:creator>
  <dc:description/>
  <dc:language>en-CA</dc:language>
  <cp:lastModifiedBy>lvargas2</cp:lastModifiedBy>
  <dcterms:modified xsi:type="dcterms:W3CDTF">2001-11-02T17:13:00Z</dcterms:modified>
  <cp:revision>1</cp:revision>
  <dc:subject/>
  <dc:title>Additional Provision:  Party A and Party B agree that from November__, 2001</dc:title>
</cp:coreProperties>
</file>