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u w:val="none"/>
        </w:rPr>
      </w:pPr>
      <w:r>
        <w:rPr>
          <w:u w:val="none"/>
        </w:rPr>
        <w:t>POWER MARKETING TRANSACTIONS</w:t>
      </w:r>
    </w:p>
    <w:p>
      <w:pPr>
        <w:pStyle w:val="Heading2"/>
        <w:ind w:hanging="0" w:start="0"/>
        <w:rPr/>
      </w:pPr>
      <w:r>
        <w:rPr/>
        <w:t>Using Master Contracts to Mitigate Risk</w:t>
      </w:r>
    </w:p>
    <w:p>
      <w:pPr>
        <w:pStyle w:val="Normal"/>
        <w:jc w:val="center"/>
        <w:rPr>
          <w:b/>
        </w:rPr>
      </w:pPr>
      <w:r>
        <w:rPr>
          <w:b/>
        </w:rPr>
        <w:t>April 18-19, 2001</w:t>
      </w:r>
    </w:p>
    <w:p>
      <w:pPr>
        <w:pStyle w:val="Normal"/>
        <w:jc w:val="center"/>
        <w:rPr>
          <w:b/>
        </w:rPr>
      </w:pPr>
      <w:r>
        <w:rPr>
          <w:b/>
        </w:rPr>
        <w:t>Newport Beach, California</w:t>
      </w:r>
    </w:p>
    <w:p>
      <w:pPr>
        <w:pStyle w:val="Normal"/>
        <w:jc w:val="center"/>
        <w:rPr>
          <w:b/>
        </w:rPr>
      </w:pPr>
      <w:r>
        <w:rPr>
          <w:b/>
        </w:rPr>
      </w:r>
    </w:p>
    <w:p>
      <w:pPr>
        <w:pStyle w:val="Normal"/>
        <w:jc w:val="center"/>
        <w:rPr>
          <w:b/>
        </w:rPr>
      </w:pPr>
      <w:r>
        <w:rPr>
          <w:b/>
        </w:rPr>
        <w:t>Prepared by:</w:t>
      </w:r>
    </w:p>
    <w:p>
      <w:pPr>
        <w:pStyle w:val="Normal"/>
        <w:jc w:val="center"/>
        <w:rPr>
          <w:b/>
        </w:rPr>
      </w:pPr>
      <w:r>
        <w:rPr>
          <w:b/>
        </w:rPr>
        <w:t>Dede Russo</w:t>
      </w:r>
    </w:p>
    <w:p>
      <w:pPr>
        <w:pStyle w:val="Normal"/>
        <w:jc w:val="center"/>
        <w:rPr>
          <w:b/>
        </w:rPr>
      </w:pPr>
      <w:r>
        <w:rPr>
          <w:b/>
        </w:rPr>
        <w:t>Reliant Energy Services, Inc.</w:t>
      </w:r>
    </w:p>
    <w:p>
      <w:pPr>
        <w:pStyle w:val="Normal"/>
        <w:rPr>
          <w:b/>
        </w:rPr>
      </w:pPr>
      <w:r>
        <w:rPr>
          <w:b/>
        </w:rPr>
      </w:r>
    </w:p>
    <w:p>
      <w:pPr>
        <w:pStyle w:val="Normal"/>
        <w:rPr/>
      </w:pPr>
      <w:r>
        <w:rPr/>
      </w:r>
    </w:p>
    <w:p>
      <w:pPr>
        <w:pStyle w:val="Heading1"/>
        <w:ind w:hanging="0" w:start="0"/>
        <w:rPr/>
      </w:pPr>
      <w:r>
        <w:rPr/>
        <w:t>Additional Products</w:t>
      </w:r>
    </w:p>
    <w:p>
      <w:pPr>
        <w:pStyle w:val="Normal"/>
        <w:rPr>
          <w:sz w:val="28"/>
        </w:rPr>
      </w:pPr>
      <w:r>
        <w:rPr>
          <w:sz w:val="28"/>
        </w:rPr>
      </w:r>
    </w:p>
    <w:p>
      <w:pPr>
        <w:pStyle w:val="Normal"/>
        <w:jc w:val="both"/>
        <w:rPr/>
      </w:pPr>
      <w:r>
        <w:rPr/>
        <w:t xml:space="preserve">Schedule P does not address all the products that are, and can be, traded under the EEI/NEM Master Contract.  The following are definitions of some products commonly traded under EEI.  Definitions such as these can easily be added to the Cover sheet or to a Transaction Confirmation.  We believe the definitions set forth herein are representative of the products currently traded.  Subject to the caveat in the footer below, we encourage consensus on commonly traded product definitions and caution against unnecessary inconsistencies.  </w:t>
      </w:r>
    </w:p>
    <w:p>
      <w:pPr>
        <w:pStyle w:val="Normal"/>
        <w:jc w:val="both"/>
        <w:rPr/>
      </w:pPr>
      <w:r>
        <w:rPr/>
      </w:r>
    </w:p>
    <w:p>
      <w:pPr>
        <w:pStyle w:val="Normal"/>
        <w:jc w:val="both"/>
        <w:rPr/>
      </w:pPr>
      <w:r>
        <w:rPr/>
        <w:t>1.</w:t>
        <w:tab/>
        <w:t>UCC, Unforced Capacity Credits (PJM)</w:t>
      </w:r>
    </w:p>
    <w:p>
      <w:pPr>
        <w:pStyle w:val="Normal"/>
        <w:jc w:val="both"/>
        <w:rPr/>
      </w:pPr>
      <w:r>
        <w:rPr/>
      </w:r>
    </w:p>
    <w:p>
      <w:pPr>
        <w:pStyle w:val="BodyTextIndent2"/>
        <w:jc w:val="both"/>
        <w:rPr/>
      </w:pPr>
      <w:r>
        <w:rPr/>
        <w:tab/>
        <w:t>“UCC” or “Unforced Capacity Credits” are traded in the PJM market.  It means with respect to a Transaction, that the product, UCC, is what it is as defined in the PJM Reliability Assurance Agreement and the PJM Operating Agreement.  It is also posted on the PJM website.</w:t>
      </w:r>
    </w:p>
    <w:p>
      <w:pPr>
        <w:pStyle w:val="Normal"/>
        <w:tabs>
          <w:tab w:val="clear" w:pos="720"/>
          <w:tab w:val="left" w:pos="1440" w:leader="none"/>
        </w:tabs>
        <w:ind w:hanging="1440" w:start="1440" w:end="0"/>
        <w:jc w:val="both"/>
        <w:rPr/>
      </w:pPr>
      <w:r>
        <w:rPr/>
      </w:r>
    </w:p>
    <w:p>
      <w:pPr>
        <w:pStyle w:val="Normal"/>
        <w:tabs>
          <w:tab w:val="clear" w:pos="720"/>
          <w:tab w:val="left" w:pos="1440" w:leader="none"/>
        </w:tabs>
        <w:ind w:hanging="1440" w:start="1440" w:end="0"/>
        <w:jc w:val="both"/>
        <w:rPr/>
      </w:pPr>
      <w:r>
        <w:rPr/>
        <w:tab/>
        <w:t>In a UCC Transaction, Seller is obligated to deliver the Contract Quantity of Unforced Capacity Credits for each calendar day of the Period of Delivery by entering such credits in a timely manner in the eCapacity system operated by PJM (“</w:t>
      </w:r>
      <w:r>
        <w:rPr>
          <w:b/>
        </w:rPr>
        <w:t>eCapacity</w:t>
      </w:r>
      <w:r>
        <w:rPr/>
        <w:t>”).  Buyer is obligated to accept the Unforced Capacity Credits by confirming the receipt of such credits in a timely manner in eCapacity.</w:t>
      </w:r>
    </w:p>
    <w:p>
      <w:pPr>
        <w:pStyle w:val="Normal"/>
        <w:tabs>
          <w:tab w:val="clear" w:pos="720"/>
          <w:tab w:val="left" w:pos="1440" w:leader="none"/>
        </w:tabs>
        <w:ind w:hanging="1440" w:start="1440" w:end="0"/>
        <w:jc w:val="both"/>
        <w:rPr/>
      </w:pPr>
      <w:r>
        <w:rPr/>
      </w:r>
    </w:p>
    <w:p>
      <w:pPr>
        <w:pStyle w:val="Normal"/>
        <w:tabs>
          <w:tab w:val="clear" w:pos="720"/>
          <w:tab w:val="left" w:pos="1440" w:leader="none"/>
        </w:tabs>
        <w:ind w:hanging="1440" w:start="1440" w:end="0"/>
        <w:jc w:val="both"/>
        <w:rPr/>
      </w:pPr>
      <w:r>
        <w:rPr/>
        <w:tab/>
        <w:t xml:space="preserve">If Seller fails to enter the Unforced Capacity Credits into eCapacity for Buyer pursuant to the terms and conditions of this Transaction, and such failure is not excused by Force Majeure or by reason of Buyer’s non-performance, then for those Unforced Capacity Credits not entered by Seller, Seller shall pay to Buyer an amount equal to the positive difference, if any, between the Replacement Price less the Contract Price; </w:t>
      </w:r>
      <w:r>
        <w:rPr>
          <w:u w:val="single"/>
        </w:rPr>
        <w:t>provided</w:t>
      </w:r>
      <w:r>
        <w:rPr/>
        <w:t xml:space="preserve">, </w:t>
      </w:r>
      <w:r>
        <w:rPr>
          <w:u w:val="single"/>
        </w:rPr>
        <w:t>however</w:t>
      </w:r>
      <w:r>
        <w:rPr/>
        <w:t>, that in no event shall the Replacement Price be more than the PJM Capacity Deficiency Rate as defined in the PJM Reliability Assurance Agreement.  If Buyer fails to confirm the Unforced Capacity Credits in eCapacity from Seller pursuant to the terms and conditions of this Transaction, then for those Unforced Capacity Credits not confirmed by Buyer, Buyer shall pay to Seller an amount equal to the positive difference, if any, between the Contract Price set forth below less the Sales Price.</w:t>
      </w:r>
    </w:p>
    <w:p>
      <w:pPr>
        <w:pStyle w:val="BodyText2"/>
        <w:tabs>
          <w:tab w:val="left" w:pos="720" w:leader="none"/>
        </w:tabs>
        <w:spacing w:lineRule="auto" w:line="240"/>
        <w:ind w:start="720" w:end="0"/>
        <w:jc w:val="both"/>
        <w:rPr>
          <w:b/>
          <w:lang w:eastAsia="en-US"/>
        </w:rPr>
      </w:pPr>
      <w:r>
        <w:rPr>
          <w:b/>
          <w:lang w:eastAsia="en-US"/>
        </w:rPr>
      </w:r>
    </w:p>
    <w:p>
      <w:pPr>
        <w:pStyle w:val="BodyText2"/>
        <w:tabs>
          <w:tab w:val="left" w:pos="720" w:leader="none"/>
        </w:tabs>
        <w:spacing w:lineRule="auto" w:line="240"/>
        <w:ind w:hanging="720" w:start="720" w:end="0"/>
        <w:jc w:val="both"/>
        <w:rPr/>
      </w:pPr>
      <w:r>
        <w:rPr/>
        <w:t>2.</w:t>
        <w:tab/>
        <w:t>"West Firm" or “WSPPC-Firm” is a firm product commonly traded in the West.  It is distinguishable from “Firm-LD” under the EEI Contract.  “West Firm” or “WSPPC-Firm” means with respect to a Transaction, a Product that is or will be scheduled as firm energy consistent with the most recent rules adopted by the WSCC for which the only excuses for failure to deliver or receive are if an interruption is (i) due to an Uncontrollable Force as provided in Section 10 of the WSPP Agreement; or (ii) where applicable, to meet Seller's public utility or statutory obligations to its customers.  Notwithstanding any other provision in this Agreement, if Seller exercises its right to interrupt to meet its public utility or statutory obligations, Seller shall be responsible for payment of damages for failure to deliver firm energy as provided in Article 4 of this Agreement.   [This Agreement refers to the EEI Agreement as this language has been excerpted from Reliant’s standard form EEI Cover Sheet.]</w:t>
      </w:r>
    </w:p>
    <w:p>
      <w:pPr>
        <w:pStyle w:val="BodyText2"/>
        <w:tabs>
          <w:tab w:val="left" w:pos="720" w:leader="none"/>
        </w:tabs>
        <w:spacing w:lineRule="auto" w:line="240"/>
        <w:ind w:hanging="720" w:start="720" w:end="0"/>
        <w:jc w:val="both"/>
        <w:rPr/>
      </w:pPr>
      <w:r>
        <w:rPr/>
      </w:r>
    </w:p>
    <w:p>
      <w:pPr>
        <w:pStyle w:val="BodyText2"/>
        <w:numPr>
          <w:ilvl w:val="0"/>
          <w:numId w:val="2"/>
        </w:numPr>
        <w:tabs>
          <w:tab w:val="left" w:pos="720" w:leader="none"/>
        </w:tabs>
        <w:spacing w:lineRule="auto" w:line="240"/>
        <w:ind w:hanging="720" w:start="720" w:end="0"/>
        <w:jc w:val="both"/>
        <w:rPr/>
      </w:pPr>
      <w:r>
        <w:rPr/>
        <w:t>“</w:t>
      </w:r>
      <w:r>
        <w:rPr/>
        <w:t>CAISO Energy” is also a firm energy product traded in the West.  It is also distinguishable from “Firm-LD” under the EEI Contract.  “CAISO Energy” means with respect to any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p>
    <w:p>
      <w:pPr>
        <w:pStyle w:val="BodyText2"/>
        <w:tabs>
          <w:tab w:val="left" w:pos="720" w:leader="none"/>
        </w:tabs>
        <w:spacing w:lineRule="auto" w:line="240"/>
        <w:ind w:hanging="720" w:start="720" w:end="0"/>
        <w:jc w:val="both"/>
        <w:rPr>
          <w:b/>
        </w:rPr>
      </w:pPr>
      <w:r>
        <w:rPr>
          <w:b/>
        </w:rPr>
      </w:r>
    </w:p>
    <w:p>
      <w:pPr>
        <w:pStyle w:val="BodyText2"/>
        <w:numPr>
          <w:ilvl w:val="0"/>
          <w:numId w:val="2"/>
        </w:numPr>
        <w:tabs>
          <w:tab w:val="left" w:pos="720" w:leader="none"/>
        </w:tabs>
        <w:spacing w:lineRule="auto" w:line="240"/>
        <w:ind w:hanging="720" w:start="720" w:end="0"/>
        <w:jc w:val="both"/>
        <w:rPr/>
      </w:pPr>
      <w:r>
        <w:rPr/>
        <w:t>Reliant also adds the following as an “umbrella” provision to deal with “regional” products that can be traded under the EEI Agreement:</w:t>
      </w:r>
    </w:p>
    <w:p>
      <w:pPr>
        <w:pStyle w:val="BodyText2"/>
        <w:tabs>
          <w:tab w:val="left" w:pos="720" w:leader="none"/>
        </w:tabs>
        <w:spacing w:lineRule="auto" w:line="240"/>
        <w:jc w:val="both"/>
        <w:rPr>
          <w:u w:val="single"/>
        </w:rPr>
      </w:pPr>
      <w:r>
        <w:rPr>
          <w:u w:val="single"/>
        </w:rPr>
      </w:r>
    </w:p>
    <w:p>
      <w:pPr>
        <w:pStyle w:val="BodyText2"/>
        <w:tabs>
          <w:tab w:val="left" w:pos="720" w:leader="none"/>
        </w:tabs>
        <w:spacing w:lineRule="auto" w:line="240"/>
        <w:ind w:start="720" w:end="0"/>
        <w:jc w:val="both"/>
        <w:rPr/>
      </w:pPr>
      <w:r>
        <w:rPr/>
        <w:t>“</w:t>
      </w:r>
      <w:r>
        <w:rPr/>
        <w:t>Other Products and Service Levels:</w:t>
      </w:r>
      <w:r>
        <w:rPr>
          <w:b/>
        </w:rPr>
        <w:t xml:space="preserve"> </w:t>
      </w:r>
      <w:r>
        <w:rPr/>
        <w:t>If the Parties agree to a service level defined by a different agreement (i.e., the WSPP agreement, the ERCOT agreement, etc.) for a particular Transaction, then, unless the Parties expressly state and agree that all the terms and conditions of such other agreement will apply, such reference to a service level/product defined by such other agreement means that the service level for that Transaction is subject to the applicable regional reliability requirements and guidelines as well as the excuses for performance, Force Majeure, Uncontrollable Forces, or other such excuses applicable to performance under such other agreement, to the extent inconsistent with the terms of this Agreement, but all other terms and conditions of this Agreement remain applicable including, without limitation, Section 2.2 and Article 4.”  [Cross reference is to the EEI Agreement.]</w:t>
      </w:r>
    </w:p>
    <w:p>
      <w:pPr>
        <w:pStyle w:val="BodyText2"/>
        <w:tabs>
          <w:tab w:val="left" w:pos="720" w:leader="none"/>
        </w:tabs>
        <w:spacing w:lineRule="auto" w:line="240"/>
        <w:jc w:val="both"/>
        <w:rPr/>
      </w:pPr>
      <w:r>
        <w:rPr/>
      </w:r>
    </w:p>
    <w:p>
      <w:pPr>
        <w:pStyle w:val="BodyText2"/>
        <w:numPr>
          <w:ilvl w:val="0"/>
          <w:numId w:val="2"/>
        </w:numPr>
        <w:tabs>
          <w:tab w:val="left" w:pos="720" w:leader="none"/>
        </w:tabs>
        <w:spacing w:lineRule="auto" w:line="240"/>
        <w:jc w:val="both"/>
        <w:rPr/>
      </w:pPr>
      <w:r>
        <w:rPr/>
        <w:t>Sometimes a definition provided in Schedule P “almost works”:</w:t>
      </w:r>
    </w:p>
    <w:p>
      <w:pPr>
        <w:pStyle w:val="BodyText2"/>
        <w:spacing w:lineRule="auto" w:line="240"/>
        <w:jc w:val="both"/>
        <w:rPr/>
      </w:pPr>
      <w:r>
        <w:rPr/>
      </w:r>
    </w:p>
    <w:p>
      <w:pPr>
        <w:pStyle w:val="BodyText2"/>
        <w:spacing w:lineRule="auto" w:line="240"/>
        <w:ind w:start="720" w:end="0"/>
        <w:jc w:val="both"/>
        <w:rPr/>
      </w:pPr>
      <w:r>
        <w:rPr/>
        <w:t>“</w:t>
      </w:r>
      <w:r>
        <w:rPr/>
        <w:t>Facility Firm” – like “Unit Firm” as defined in Schedule P, but performance is tied to a particular Facility, rather than a particular Unit.</w:t>
      </w:r>
    </w:p>
    <w:p>
      <w:pPr>
        <w:pStyle w:val="BodyText2"/>
        <w:tabs>
          <w:tab w:val="left" w:pos="720" w:leader="none"/>
        </w:tabs>
        <w:spacing w:lineRule="auto" w:line="240"/>
        <w:jc w:val="both"/>
        <w:rPr/>
      </w:pPr>
      <w:r>
        <w:rPr/>
      </w:r>
    </w:p>
    <w:p>
      <w:pPr>
        <w:pStyle w:val="BodyText2"/>
        <w:tabs>
          <w:tab w:val="left" w:pos="720" w:leader="none"/>
        </w:tabs>
        <w:spacing w:lineRule="auto" w:line="240"/>
        <w:ind w:start="720" w:end="0"/>
        <w:jc w:val="both"/>
        <w:rPr/>
      </w:pPr>
      <w:r>
        <w:rPr/>
        <w:t>Additional issues:  pro-rating if curtailment, guaranteed availability, broader Force Majeure, LD if “unavailable” but excused, capacity payments, transmission, gas supply (or other fuel source).  Reliant often addresses these issues in the Transaction Confirmation – especially for “customized products”.</w:t>
      </w:r>
    </w:p>
    <w:p>
      <w:pPr>
        <w:pStyle w:val="BodyText2"/>
        <w:tabs>
          <w:tab w:val="left" w:pos="720" w:leader="none"/>
        </w:tabs>
        <w:spacing w:lineRule="auto" w:line="240"/>
        <w:jc w:val="both"/>
        <w:rPr/>
      </w:pPr>
      <w:r>
        <w:rPr/>
      </w:r>
    </w:p>
    <w:p>
      <w:pPr>
        <w:pStyle w:val="BodyText2"/>
        <w:numPr>
          <w:ilvl w:val="0"/>
          <w:numId w:val="2"/>
        </w:numPr>
        <w:tabs>
          <w:tab w:val="left" w:pos="720" w:leader="none"/>
        </w:tabs>
        <w:spacing w:lineRule="auto" w:line="240"/>
        <w:ind w:hanging="720" w:start="720" w:end="0"/>
        <w:jc w:val="both"/>
        <w:rPr/>
      </w:pPr>
      <w:r>
        <w:rPr/>
        <w:t>“</w:t>
      </w:r>
      <w:r>
        <w:rPr/>
        <w:t xml:space="preserve">Unit Contingent” – additional excuses for performances can be added to the “Unit Firm” definition in Schedule P when the supply is tied to a particular generation source and the intent of the parties is to excuse performance when the source is down. </w:t>
      </w:r>
    </w:p>
    <w:p>
      <w:pPr>
        <w:pStyle w:val="BodyText2"/>
        <w:tabs>
          <w:tab w:val="left" w:pos="720" w:leader="none"/>
        </w:tabs>
        <w:spacing w:lineRule="auto" w:line="240"/>
        <w:jc w:val="both"/>
        <w:rPr/>
      </w:pPr>
      <w:r>
        <w:rPr/>
      </w:r>
    </w:p>
    <w:p>
      <w:pPr>
        <w:pStyle w:val="BodyText2"/>
        <w:tabs>
          <w:tab w:val="left" w:pos="720" w:leader="none"/>
        </w:tabs>
        <w:spacing w:lineRule="auto" w:line="240"/>
        <w:ind w:start="720" w:end="0"/>
        <w:jc w:val="both"/>
        <w:rPr/>
      </w:pPr>
      <w:r>
        <w:rPr/>
        <w:t>Issues:  supply outs, transmission outs, availability factors, other “physical” limits to performance.</w:t>
      </w:r>
    </w:p>
    <w:p>
      <w:pPr>
        <w:pStyle w:val="Normal"/>
        <w:jc w:val="both"/>
        <w:rPr/>
      </w:pPr>
      <w:r>
        <w:rPr/>
      </w:r>
    </w:p>
    <w:p>
      <w:pPr>
        <w:pStyle w:val="Normal"/>
        <w:jc w:val="both"/>
        <w:rPr>
          <w:sz w:val="16"/>
        </w:rPr>
      </w:pPr>
      <w:r>
        <w:rPr>
          <w:sz w:val="16"/>
        </w:rPr>
        <w:fldChar w:fldCharType="begin"/>
      </w:r>
      <w:r>
        <w:rPr>
          <w:sz w:val="16"/>
        </w:rPr>
        <w:instrText xml:space="preserve"> FILENAME \p </w:instrText>
      </w:r>
      <w:r>
        <w:rPr>
          <w:sz w:val="16"/>
        </w:rPr>
        <w:fldChar w:fldCharType="separate"/>
      </w:r>
      <w:r>
        <w:rPr>
          <w:sz w:val="16"/>
        </w:rPr>
        <w:t>/mnt/main-storage/datasets/enron-docs/doc/Additional_Products_Presentation_051501.doc</w:t>
      </w:r>
      <w:r>
        <w:rPr>
          <w:sz w:val="16"/>
        </w:rPr>
        <w:fldChar w:fldCharType="end"/>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Silver Plume Font">
    <w:altName w:val="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p>
    <w:pPr>
      <w:pStyle w:val="Footer"/>
      <w:rPr>
        <w:sz w:val="16"/>
      </w:rPr>
    </w:pPr>
    <w:r>
      <w:rPr>
        <w:sz w:val="16"/>
      </w:rPr>
    </w:r>
  </w:p>
  <w:p>
    <w:pPr>
      <w:pStyle w:val="Footer"/>
      <w:rPr>
        <w:sz w:val="16"/>
      </w:rPr>
    </w:pPr>
    <w:r>
      <w:rPr>
        <w:sz w:val="16"/>
      </w:rPr>
      <w:t>These provisions are provided as examples of provisions that can be added to a Cover Sheet.  They are for illustrative purposes only and are not intended to result in anticompetitive behavior including restraint of trade, conspiracy to monopolize, unfair or deceptive business acts or practices, price discrimination, division of markets, allocation of production, imposition of boycotts, and exclusive dealing arrangements.</w:t>
    </w:r>
  </w:p>
  <w:p>
    <w:pPr>
      <w:pStyle w:val="Footer"/>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These provisions are provided as examples of provisions that can be added to a Cover Sheet.  They are for illustrative purposes only and are not intended to result in anticompetitive behavior including restraint of trade, conspiracy to monopolize, unfair or deceptive business acts or practices, price discrimination, division of markets, allocation of production, imposition of boycotts, and exclusive dealing arrangements.</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sz w:val="28"/>
      <w:u w:val="single"/>
    </w:rPr>
  </w:style>
  <w:style w:type="paragraph" w:styleId="Heading2">
    <w:name w:val="heading 2"/>
    <w:basedOn w:val="Normal"/>
    <w:next w:val="Normal"/>
    <w:qFormat/>
    <w:pPr>
      <w:keepNext w:val="true"/>
      <w:numPr>
        <w:ilvl w:val="1"/>
        <w:numId w:val="1"/>
      </w:numPr>
      <w:jc w:val="center"/>
      <w:outlineLvl w:val="1"/>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
    <w:name w:val="Body Text In"/>
    <w:basedOn w:val="Normal"/>
    <w:qFormat/>
    <w:pPr>
      <w:widowControl w:val="false"/>
      <w:ind w:hanging="2160" w:start="2160" w:end="0"/>
    </w:pPr>
    <w:rPr>
      <w:rFonts w:ascii="Silver Plume Font;Arial Narrow" w:hAnsi="Silver Plume Font;Arial Narrow" w:cs="Silver Plume Font;Arial Narrow"/>
      <w:color w:val="000000"/>
      <w:sz w:val="20"/>
      <w:lang w:eastAsia="en-US"/>
    </w:rPr>
  </w:style>
  <w:style w:type="paragraph" w:styleId="BodyTextIndent">
    <w:name w:val="Body Text Indent"/>
    <w:basedOn w:val="Normal"/>
    <w:pPr>
      <w:spacing w:before="0" w:after="120"/>
      <w:ind w:hanging="0" w:start="1440" w:end="0"/>
      <w:jc w:val="both"/>
    </w:pPr>
    <w:rPr>
      <w:sz w:val="18"/>
    </w:rPr>
  </w:style>
  <w:style w:type="paragraph" w:styleId="BodyTextIndent2">
    <w:name w:val="Body Text Indent 2"/>
    <w:basedOn w:val="Normal"/>
    <w:qFormat/>
    <w:pPr>
      <w:tabs>
        <w:tab w:val="clear" w:pos="720"/>
        <w:tab w:val="left" w:pos="1440" w:leader="none"/>
      </w:tabs>
      <w:ind w:hanging="1440" w:start="1440" w:end="0"/>
    </w:pPr>
    <w:rPr/>
  </w:style>
  <w:style w:type="paragraph" w:styleId="BodyText2">
    <w:name w:val="Body Text 2"/>
    <w:basedOn w:val="Normal"/>
    <w:qFormat/>
    <w:pPr>
      <w:spacing w:lineRule="auto" w:line="48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2001-05-16T11:36:00Z</dcterms:created>
  <dc:creator>200909</dc:creator>
  <dc:description/>
  <dc:language>en-CA</dc:language>
  <cp:lastModifiedBy>200909</cp:lastModifiedBy>
  <cp:lastPrinted>2001-05-16T09:06:00Z</cp:lastPrinted>
  <dcterms:modified xsi:type="dcterms:W3CDTF">2001-05-16T11:59:00Z</dcterms:modified>
  <cp:revision>3</cp:revision>
  <dc:subject/>
  <dc:title>Additional Products</dc:title>
</cp:coreProperties>
</file>