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Complaint #3:  In their Memo to the ISO Board of Governors outlining the 2001 Market Stabilization Plan, ISO management explain various elements of the plan.  The third principal element of the their plan “seek(s) to clarify and extend its existing authority under the tariff to curtail exports from the control area in times of system emergency, in order to be able to require in-control area resources to provide their full capacity to the ISO in the day-ahead scheduling time frame, either scheduled against control-area load or bid into the ISO markets.”</w:t>
      </w:r>
    </w:p>
    <w:p>
      <w:pPr>
        <w:pStyle w:val="Normal"/>
        <w:rPr/>
      </w:pPr>
      <w:r>
        <w:rPr/>
      </w:r>
    </w:p>
    <w:p>
      <w:pPr>
        <w:pStyle w:val="Normal"/>
        <w:rPr/>
      </w:pPr>
      <w:r>
        <w:rPr/>
        <w:t>ISO management then explains the primary reason the ISO is seeking this authority is to prevent “megawatt laundering”.  The ISO explains megawatt laundering as the process whereby generating capacity located within the ISO control area is contracted and scheduled for export and then sold back to the ISO in real-time out-of-market transactions.</w:t>
      </w:r>
    </w:p>
    <w:p>
      <w:pPr>
        <w:pStyle w:val="Normal"/>
        <w:rPr/>
      </w:pPr>
      <w:r>
        <w:rPr/>
      </w:r>
    </w:p>
    <w:p>
      <w:pPr>
        <w:pStyle w:val="Normal"/>
        <w:rPr/>
      </w:pPr>
      <w:r>
        <w:rPr/>
        <w:t xml:space="preserve">While we do not disagree that any control area operator has the right to curtail schedules under genuine system emergencies, these cuts should only be made according to objective standard utility practices.  Examining open-access tariffs of other large control areas in West reveals the true nature of the conditions required to justify curtailments.  For example, BPA reserves the right to curtail schedules, but only in an emergency or other unforeseen conditions.  BPA makes it clear that such curtailments would be non-discriminatory and consistent with Good Utility Practice.  Good Utility Practice is defined as “Any of the practices, methods, and acts engaged in or approved by a significant portion of the electric utility industry in the WSCC area during the relevant time period, or any of the practices, methods and acts which, in the exercise of reasonable judgement in light of the facts known at the time the decision was made, could have been expected to accomplish the desired result at the lowest reasonable cost consistent with good business practices, reliability, safety, and expedition.  </w:t>
      </w:r>
      <w:r>
        <w:rPr>
          <w:b/>
          <w:u w:val="single"/>
        </w:rPr>
        <w:t>Good Utility Practice is not intended to be limited to the optimum practice, method, or act to the exclusion of others, but rather to be a range of acceptable practices, methods, or acts generally accepted in the region and consistently adhered to by Bonneville.</w:t>
      </w:r>
    </w:p>
    <w:p>
      <w:pPr>
        <w:pStyle w:val="Normal"/>
        <w:rPr/>
      </w:pPr>
      <w:r>
        <w:rPr/>
      </w:r>
    </w:p>
    <w:p>
      <w:pPr>
        <w:pStyle w:val="Normal"/>
        <w:rPr/>
      </w:pPr>
      <w:r>
        <w:rPr/>
        <w:t>This is the criteria that most, if not all, major control areas in the WSCC adhere to.  It is absolutely essential in order to support wheeling of power within the WSCC, a practice that is not only required from an economic sense, but absolutely critical to the reliability of the entire region.  It is ironic that the CAISO is seeking approval of a policy that undermines the very transactions that consistently have, and will, keep the lights on in California.</w:t>
      </w:r>
    </w:p>
    <w:p>
      <w:pPr>
        <w:pStyle w:val="Normal"/>
        <w:rPr/>
      </w:pPr>
      <w:r>
        <w:rPr/>
      </w:r>
    </w:p>
    <w:p>
      <w:pPr>
        <w:pStyle w:val="Normal"/>
        <w:rPr/>
      </w:pPr>
      <w:r>
        <w:rPr/>
        <w:t>In order to illustrate the severity of this issue, and its potential ramifications, let’s examine what happened to the Western power market in early December 2000.  On Friday, December 9, a severe arctic outbreak was forecast for the Pacific Northwest.  Several emergency meetings were held among Northwest utilities and there was genuine concern about possible blackouts.  Wholesale daily spot prices for delivery on December 12 traded as high as $5,000/MWh.  At no time did BPA, or any other utility in the Pacific Northwest threaten to cut exports to California during this period.  BPA did not threaten to cut Canada’s exports to California being wheeled across BPA’s system.  BPA did not threaten to cut Trans Alta’s exports from Washington to California.  BPA certainly did not threaten to cut the exports of Portland General, Pacificorp, Puget, Seattle, Tacoma, or any other holder of transmission rights at COB.</w:t>
      </w:r>
    </w:p>
    <w:p>
      <w:pPr>
        <w:pStyle w:val="Normal"/>
        <w:rPr/>
      </w:pPr>
      <w:r>
        <w:rPr/>
      </w:r>
    </w:p>
    <w:p>
      <w:pPr>
        <w:pStyle w:val="Normal"/>
        <w:rPr/>
      </w:pPr>
      <w:r>
        <w:rPr/>
        <w:t>Could BPA adopt such a dangerous policy?  If they follow the lead of the CAISO, they certainly could.</w:t>
      </w:r>
    </w:p>
    <w:p>
      <w:pPr>
        <w:pStyle w:val="Normal"/>
        <w:rPr/>
      </w:pPr>
      <w:r>
        <w:rPr/>
      </w:r>
    </w:p>
    <w:p>
      <w:pPr>
        <w:pStyle w:val="Normal"/>
        <w:rPr/>
      </w:pPr>
      <w:r>
        <w:rPr/>
        <w:t>As justification for this policy, the CAISO claims it has the right to restrict and curtail exports in order to restrict “megawatt laundering”.  The ISO claims that generators and marketers export power from California, only to sell back to the ISO later at a higher price.  Even if this were true, the standard for setting TTC and ATC levels contains no provision dealing with energy prices.  TTC is a technical measure of physical transfer capability, while ATC is a measure of the portion of TTC which is uncommitted thus available for purchase.  The practice of reducing ATC for arbitrary reasons is clearly an attempt to circumvent the Commission’s (FERC) price cap decisions.  It constitutes an exercise of transportation market power while screaming loudly about some other problem.</w:t>
        <w:br/>
      </w:r>
    </w:p>
    <w:p>
      <w:pPr>
        <w:pStyle w:val="Normal"/>
        <w:rPr/>
      </w:pPr>
      <w:r>
        <w:rPr/>
      </w:r>
    </w:p>
    <w:p>
      <w:pPr>
        <w:pStyle w:val="Normal"/>
        <w:rPr/>
      </w:pPr>
      <w:r>
        <w:rPr/>
        <w:t xml:space="preserve">By use of a perjoritive, “megawatt laundering”, the ISO incorrectly characterizes legitimate transactions as hoarding or withholding of energy from the market.  Energy must be allowed to be traded, in any direction which can be physically allowed by the system, if price discovery by buyer and sellers it to occur.  In the very tight market faced by the West, artificial restriction of transfer capability will result in poor economic decisions.  For example, reservoirs may be drafted when they should be increasing storage or vice versa, because the true value of energy at a given point in time is incorrect.  </w:t>
      </w:r>
    </w:p>
    <w:p>
      <w:pPr>
        <w:pStyle w:val="Normal"/>
        <w:rPr/>
      </w:pPr>
      <w:r>
        <w:rPr/>
        <w:br/>
        <w:t xml:space="preserve">CA-ISO’s  use of  “megawatt laundering” as an excuse to curtail and deny ALL exports is incorrect, even if one accepted the notion as valid.  Many transactions that originate in California “sink” outside California, with no corresponding sale back to California.  A generator can have load outside of California.  A California municipal utility can have a long-term contract, perhaps a capacity exchange agreement, that has a sink outside of California.  How can the CA-ISO look through the vast web of trades and know which are valid and which are cases of supposed “megawatt laundering”.  If CA-ISO believes a case can be made for such nefarious behavior, they have transactions tags from which to track the movement of energy and pursue the guilty.  They have not proposed to do this; instead they choose to restrict all trade out of California.  Ironically they are heavily dependent upon imports to California and would suffer greatly were other to retaliate in kind.  </w:t>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2001-04-06T18:27:00Z</dcterms:created>
  <dc:creator>scranda</dc:creator>
  <dc:description/>
  <dc:language>en-CA</dc:language>
  <cp:lastModifiedBy>scranda</cp:lastModifiedBy>
  <cp:lastPrinted>2001-04-06T13:42:00Z</cp:lastPrinted>
  <dcterms:modified xsi:type="dcterms:W3CDTF">2001-04-06T18:27:00Z</dcterms:modified>
  <cp:revision>2</cp:revision>
  <dc:subject/>
  <dc:title>Complaint #3:  In their Memo to the ISO Board of Governors outlining the 2001 Market Stabilization Plan, ISO management explain various elements of the plan</dc:title>
</cp:coreProperties>
</file>