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Action Items from 5/30/01 Management Offsite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Human Resources (Jones)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Retention – Work to identify key players prior to mid-year PRC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Review any compensation issues (all business units)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Report back in a few weeks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Review and follow-up after PRC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Recruiting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 a list of potential candidates outside of Enron (Jones)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Execution on list (Jones, business units)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PRC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Global Technology Track and Programmer Plus – Review cost/benefit of program (Webb, Rub, Perlman, Jones)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DealBench (Bartlett, Raghavan)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Deal Rooms – CD vs. bank partner (Swift, B of A, Citi)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Marketing – focus to Data Rooms and execution strategy (LexisNexis)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Tech re-write (Webb)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Scope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Cost/benefit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Are we better?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Sell source code (Bartlett, Raghavan, Shelby)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EnronOnline (Zipper, Webb)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1028700</wp:posOffset>
                </wp:positionH>
                <wp:positionV relativeFrom="paragraph">
                  <wp:posOffset>120015</wp:posOffset>
                </wp:positionV>
                <wp:extent cx="33147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9.45pt" to="341.95pt,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1028700</wp:posOffset>
                </wp:positionH>
                <wp:positionV relativeFrom="paragraph">
                  <wp:posOffset>120015</wp:posOffset>
                </wp:positionV>
                <wp:extent cx="0" cy="302260"/>
                <wp:effectExtent l="38100" t="0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2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9.45pt" to="81pt,33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4343400</wp:posOffset>
                </wp:positionH>
                <wp:positionV relativeFrom="paragraph">
                  <wp:posOffset>120015</wp:posOffset>
                </wp:positionV>
                <wp:extent cx="0" cy="302260"/>
                <wp:effectExtent l="38100" t="0" r="3810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2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9.45pt" to="342pt,33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2628900</wp:posOffset>
                </wp:positionH>
                <wp:positionV relativeFrom="paragraph">
                  <wp:posOffset>120015</wp:posOffset>
                </wp:positionV>
                <wp:extent cx="0" cy="302260"/>
                <wp:effectExtent l="38100" t="0" r="3810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2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9.45pt" to="207pt,33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1151890" cy="139827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982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EWS as Client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Development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Operations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Other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0.7pt;height:110.1pt;mso-wrap-distance-left:9.05pt;mso-wrap-distance-right:9.05pt;mso-wrap-distance-top:0pt;mso-wrap-distance-bottom:0pt;margin-top:0.85pt;mso-position-vertical-relative:text;margin-left:37.15pt;mso-position-horizontal-relative:text">
                <v:textbox>
                  <w:txbxContent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EWS as Client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Development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Operations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Other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2072005</wp:posOffset>
                </wp:positionH>
                <wp:positionV relativeFrom="paragraph">
                  <wp:posOffset>10795</wp:posOffset>
                </wp:positionV>
                <wp:extent cx="1151890" cy="1398270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3982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Commercial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STP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Data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Broker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Clearing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Other Platforms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Client Reports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Etc.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0.7pt;height:110.1pt;mso-wrap-distance-left:9.05pt;mso-wrap-distance-right:9.05pt;mso-wrap-distance-top:0pt;mso-wrap-distance-bottom:0pt;margin-top:0.85pt;mso-position-vertical-relative:text;margin-left:163.1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Commercial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STP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Data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Broker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Clearing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Other Platforms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Client Reports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Etc.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3538855</wp:posOffset>
                </wp:positionH>
                <wp:positionV relativeFrom="paragraph">
                  <wp:posOffset>20320</wp:posOffset>
                </wp:positionV>
                <wp:extent cx="1609090" cy="1398270"/>
                <wp:effectExtent l="0" t="0" r="0" b="0"/>
                <wp:wrapNone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3982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Partnership Deals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 Party Products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Separate environments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6.7pt;height:110.1pt;mso-wrap-distance-left:9.05pt;mso-wrap-distance-right:9.05pt;mso-wrap-distance-top:0pt;mso-wrap-distance-bottom:0pt;margin-top:1.6pt;mso-position-vertical-relative:text;margin-left:278.65pt;mso-position-horizontal-relative:text">
                <v:textbox>
                  <w:txbxContent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Partnership Deals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3</w:t>
                      </w:r>
                      <w:r>
                        <w:rPr>
                          <w:rFonts w:cs="Arial" w:ascii="Arial" w:hAnsi="Arial"/>
                          <w:sz w:val="20"/>
                          <w:vertAlign w:val="superscript"/>
                        </w:rPr>
                        <w:t>rd</w:t>
                      </w:r>
                      <w:r>
                        <w:rPr>
                          <w:rFonts w:cs="Arial" w:ascii="Arial" w:hAnsi="Arial"/>
                          <w:sz w:val="20"/>
                        </w:rPr>
                        <w:t xml:space="preserve"> Party Products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Separate environments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1028700</wp:posOffset>
                </wp:positionH>
                <wp:positionV relativeFrom="paragraph">
                  <wp:posOffset>81915</wp:posOffset>
                </wp:positionV>
                <wp:extent cx="0" cy="342900"/>
                <wp:effectExtent l="38100" t="0" r="3810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6.45pt" to="81pt,33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2628900</wp:posOffset>
                </wp:positionH>
                <wp:positionV relativeFrom="paragraph">
                  <wp:posOffset>81915</wp:posOffset>
                </wp:positionV>
                <wp:extent cx="0" cy="342900"/>
                <wp:effectExtent l="38100" t="0" r="3810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6.45pt" to="207pt,33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4343400</wp:posOffset>
                </wp:positionH>
                <wp:positionV relativeFrom="paragraph">
                  <wp:posOffset>81915</wp:posOffset>
                </wp:positionV>
                <wp:extent cx="0" cy="342900"/>
                <wp:effectExtent l="38100" t="0" r="3810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6.45pt" to="342pt,33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1028700</wp:posOffset>
                </wp:positionH>
                <wp:positionV relativeFrom="paragraph">
                  <wp:posOffset>132715</wp:posOffset>
                </wp:positionV>
                <wp:extent cx="3314700" cy="0"/>
                <wp:effectExtent l="0" t="5080" r="0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10.45pt" to="341.95pt,10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2057400</wp:posOffset>
                </wp:positionH>
                <wp:positionV relativeFrom="paragraph">
                  <wp:posOffset>18415</wp:posOffset>
                </wp:positionV>
                <wp:extent cx="1257300" cy="228600"/>
                <wp:effectExtent l="0" t="0" r="0" b="0"/>
                <wp:wrapNone/>
                <wp:docPr id="1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</w:rPr>
                              <w:t>Focus/Execution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18pt;mso-wrap-distance-left:9.05pt;mso-wrap-distance-right:9.05pt;mso-wrap-distance-top:0pt;mso-wrap-distance-bottom:0pt;margin-top:1.45pt;mso-position-vertical-relative:text;margin-left:16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</w:rPr>
                        <w:t>Focus/Execution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Mid/Back Office (Beck, Gros, Perlman)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Support for Mrha, Calger, Duran, Tycholiz, Vickers, Luce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a few weeks, conduct a ½ day commercialization meeting to discuss processing, systems and CommodityLogic</w:t>
      </w:r>
    </w:p>
    <w:p>
      <w:pPr>
        <w:pStyle w:val="Normal"/>
        <w:ind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Infrastructure (Rub)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Awareness of issues and projects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Focus to key projects vs. projects to outsource vs. projects to be stopped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hanging="0" w:start="0"/>
        <w:rPr/>
      </w:pPr>
      <w:r>
        <w:rPr/>
        <w:t>Investments (Wax)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Actions on each investment</w:t>
      </w:r>
    </w:p>
    <w:sectPr>
      <w:type w:val="nextPage"/>
      <w:pgSz w:w="12240" w:h="15840"/>
      <w:pgMar w:left="1800" w:right="180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20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2001-06-01T18:36:00Z</dcterms:created>
  <dc:creator>Tina Spiller</dc:creator>
  <dc:description/>
  <dc:language>en-CA</dc:language>
  <cp:lastModifiedBy>lcostel</cp:lastModifiedBy>
  <cp:lastPrinted>2001-05-31T12:21:00Z</cp:lastPrinted>
  <dcterms:modified xsi:type="dcterms:W3CDTF">2001-06-01T18:36:00Z</dcterms:modified>
  <cp:revision>2</cp:revision>
  <dc:subject/>
  <dc:title>Action Items from 5/30/01 Management Offsite</dc:title>
</cp:coreProperties>
</file>