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NETCO Structuring Re-Start/Integration Plan</w:t>
      </w:r>
    </w:p>
    <w:p>
      <w:pPr>
        <w:pStyle w:val="Normal"/>
        <w:rPr/>
      </w:pPr>
      <w:r>
        <w:rPr/>
      </w:r>
    </w:p>
    <w:tbl>
      <w:tblPr>
        <w:tblW w:w="13176" w:type="dxa"/>
        <w:jc w:val="start"/>
        <w:tblInd w:w="0" w:type="dxa"/>
        <w:tblLayout w:type="fixed"/>
        <w:tblCellMar>
          <w:top w:w="0" w:type="dxa"/>
          <w:start w:w="108" w:type="dxa"/>
          <w:bottom w:w="0" w:type="dxa"/>
          <w:end w:w="108" w:type="dxa"/>
        </w:tblCellMar>
      </w:tblPr>
      <w:tblGrid>
        <w:gridCol w:w="3708"/>
        <w:gridCol w:w="2160"/>
        <w:gridCol w:w="2037"/>
        <w:gridCol w:w="4983"/>
        <w:gridCol w:w="288"/>
      </w:tblGrid>
      <w:tr>
        <w:trPr/>
        <w:tc>
          <w:tcPr>
            <w:tcW w:w="3708"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rPr/>
            </w:pPr>
            <w:r>
              <w:rPr/>
              <w:t>Action Items</w:t>
            </w:r>
          </w:p>
        </w:tc>
        <w:tc>
          <w:tcPr>
            <w:tcW w:w="216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rPr>
            </w:pPr>
            <w:r>
              <w:rPr>
                <w:b/>
                <w:bCs/>
                <w:color w:val="FFFFFF"/>
              </w:rPr>
              <w:t>Person Responsible</w:t>
            </w:r>
          </w:p>
        </w:tc>
        <w:tc>
          <w:tcPr>
            <w:tcW w:w="2037"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rPr>
            </w:pPr>
            <w:r>
              <w:rPr>
                <w:b/>
                <w:bCs/>
                <w:color w:val="FFFFFF"/>
              </w:rPr>
              <w:t>Estimated Date of Completion</w:t>
            </w:r>
          </w:p>
        </w:tc>
        <w:tc>
          <w:tcPr>
            <w:tcW w:w="4983"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rPr/>
            </w:pPr>
            <w:r>
              <w:rPr/>
              <w:t>Issues/Comments</w:t>
            </w:r>
          </w:p>
        </w:tc>
        <w:tc>
          <w:tcPr>
            <w:tcW w:w="288" w:type="dxa"/>
            <w:tcBorders>
              <w:top w:val="single" w:sz="6" w:space="0" w:color="000080"/>
              <w:start w:val="single" w:sz="6" w:space="0" w:color="000080"/>
              <w:bottom w:val="single" w:sz="6" w:space="0" w:color="000080"/>
              <w:end w:val="single" w:sz="6" w:space="0" w:color="000080"/>
            </w:tcBorders>
            <w:shd w:fill="000080" w:val="clear"/>
          </w:tcPr>
          <w:p>
            <w:pPr>
              <w:pStyle w:val="Normal"/>
              <w:snapToGrid w:val="false"/>
              <w:rPr>
                <w:b/>
                <w:bCs/>
                <w:color w:val="FFFFFF"/>
              </w:rPr>
            </w:pPr>
            <w:r>
              <w:rPr>
                <w:b/>
                <w:bCs/>
                <w:color w:val="FFFFFF"/>
              </w:rPr>
            </w:r>
          </w:p>
        </w:tc>
      </w:tr>
      <w:tr>
        <w:trPr/>
        <w:tc>
          <w:tcPr>
            <w:tcW w:w="13176" w:type="dxa"/>
            <w:gridSpan w:val="5"/>
            <w:tcBorders>
              <w:top w:val="single" w:sz="6" w:space="0" w:color="000080"/>
              <w:start w:val="single" w:sz="6" w:space="0" w:color="000080"/>
              <w:bottom w:val="single" w:sz="6" w:space="0" w:color="000080"/>
              <w:end w:val="single" w:sz="6" w:space="0" w:color="000080"/>
            </w:tcBorders>
            <w:shd w:fill="CCCCCC" w:val="clear"/>
          </w:tcPr>
          <w:p>
            <w:pPr>
              <w:pStyle w:val="Heading3"/>
              <w:ind w:hanging="0" w:start="0"/>
              <w:rPr/>
            </w:pPr>
            <w:r>
              <w:rPr/>
              <w:t>Structuring Model Capabilities</w:t>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2"/>
              </w:numPr>
              <w:rPr/>
            </w:pPr>
            <w:r>
              <w:rPr/>
              <w:t>Identify model templates for potential NETCO business and transfer to common drive</w:t>
            </w:r>
          </w:p>
          <w:p>
            <w:pPr>
              <w:pStyle w:val="Normal"/>
              <w:ind w:start="360" w:end="0"/>
              <w:rPr/>
            </w:pPr>
            <w:r>
              <w:rPr/>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b/>
                <w:bCs/>
                <w:i/>
                <w:iCs/>
              </w:rPr>
              <w:t>Power</w:t>
            </w:r>
            <w:r>
              <w:rPr/>
              <w:t xml:space="preserve"> – Jim Meyn</w:t>
            </w:r>
          </w:p>
          <w:p>
            <w:pPr>
              <w:pStyle w:val="Normal"/>
              <w:rPr/>
            </w:pPr>
            <w:r>
              <w:rPr>
                <w:b/>
                <w:bCs/>
                <w:i/>
                <w:iCs/>
              </w:rPr>
              <w:t>Gas</w:t>
            </w:r>
            <w:r>
              <w:rPr/>
              <w:t xml:space="preserve"> – Mark Breese</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Complete</w:t>
            </w:r>
          </w:p>
        </w:tc>
        <w:tc>
          <w:tcPr>
            <w:tcW w:w="4983" w:type="dxa"/>
            <w:tcBorders>
              <w:top w:val="single" w:sz="6" w:space="0" w:color="000080"/>
              <w:start w:val="single" w:sz="6" w:space="0" w:color="000080"/>
              <w:bottom w:val="single" w:sz="6" w:space="0" w:color="000080"/>
              <w:end w:val="single" w:sz="6" w:space="0" w:color="000080"/>
            </w:tcBorders>
          </w:tcPr>
          <w:p>
            <w:pPr>
              <w:pStyle w:val="Normal"/>
              <w:rPr/>
            </w:pPr>
            <w:r>
              <w:rPr/>
              <w:t>Location of files:</w:t>
            </w:r>
          </w:p>
          <w:p>
            <w:pPr>
              <w:pStyle w:val="BodyTextIndent"/>
              <w:rPr/>
            </w:pPr>
            <w:r>
              <w:rPr>
                <w:b/>
                <w:bCs/>
                <w:i/>
                <w:iCs/>
              </w:rPr>
              <w:t>Power (Basic Swap/Option)</w:t>
            </w:r>
            <w:r>
              <w:rPr/>
              <w:t xml:space="preserve"> – M:\power2\pricing\Pwr_strc97.xls</w:t>
            </w:r>
          </w:p>
          <w:p>
            <w:pPr>
              <w:pStyle w:val="Normal"/>
              <w:ind w:start="720" w:end="0"/>
              <w:rPr/>
            </w:pPr>
            <w:r>
              <w:rPr>
                <w:b/>
                <w:bCs/>
                <w:i/>
                <w:iCs/>
              </w:rPr>
              <w:t>Other Power Models</w:t>
            </w:r>
            <w:r>
              <w:rPr/>
              <w:t xml:space="preserve"> – M:\user_pub\todd\models</w:t>
            </w:r>
          </w:p>
          <w:p>
            <w:pPr>
              <w:pStyle w:val="Normal"/>
              <w:ind w:start="720" w:end="0"/>
              <w:rPr/>
            </w:pPr>
            <w:r>
              <w:rPr>
                <w:b/>
                <w:bCs/>
                <w:i/>
                <w:iCs/>
              </w:rPr>
              <w:t xml:space="preserve">Gas </w:t>
            </w:r>
            <w:r>
              <w:rPr/>
              <w:t>– O:\Gas Structuring\Requested files</w:t>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2"/>
              </w:numPr>
              <w:rPr/>
            </w:pPr>
            <w:r>
              <w:rPr/>
              <w:t>Coordinate with Research and/or IT to ensure proper technical support for models at time of restart</w:t>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t>Berney Aucoin</w:t>
            </w:r>
          </w:p>
          <w:p>
            <w:pPr>
              <w:pStyle w:val="Normal"/>
              <w:rPr/>
            </w:pPr>
            <w:r>
              <w:rPr/>
              <w:t>Vince Kaminski</w:t>
            </w:r>
          </w:p>
          <w:p>
            <w:pPr>
              <w:pStyle w:val="Normal"/>
              <w:rPr/>
            </w:pPr>
            <w:r>
              <w:rPr/>
              <w:t>IT Rep – NETCO?</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Week of Jan. 7th</w:t>
            </w:r>
          </w:p>
        </w:tc>
        <w:tc>
          <w:tcPr>
            <w:tcW w:w="4983" w:type="dxa"/>
            <w:tcBorders>
              <w:top w:val="single" w:sz="6" w:space="0" w:color="000080"/>
              <w:start w:val="single" w:sz="6" w:space="0" w:color="000080"/>
              <w:bottom w:val="single" w:sz="6" w:space="0" w:color="000080"/>
              <w:end w:val="single" w:sz="6" w:space="0" w:color="000080"/>
            </w:tcBorders>
          </w:tcPr>
          <w:p>
            <w:pPr>
              <w:pStyle w:val="Normal"/>
              <w:rPr/>
            </w:pPr>
            <w:r>
              <w:rPr/>
              <w:t>Research has historically provided technical support/maintenance for EXOTICA library functions. We need to identify an IT/quant person with Visual Basic coding skills to maintain this library. Ideally, the same person supporting the code for the risk books would  maintain this library in the new company. Meeting to be set up for week of 1/7 to coordinate/transfer this capability from Research to NETCO.</w:t>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2"/>
              </w:numPr>
              <w:rPr/>
            </w:pPr>
            <w:r>
              <w:rPr/>
              <w:t>Transfer models into new IT domain.</w:t>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t>Jay Webb</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TBD</w:t>
            </w:r>
          </w:p>
        </w:tc>
        <w:tc>
          <w:tcPr>
            <w:tcW w:w="4983" w:type="dxa"/>
            <w:tcBorders>
              <w:top w:val="single" w:sz="6" w:space="0" w:color="000080"/>
              <w:start w:val="single" w:sz="6" w:space="0" w:color="000080"/>
              <w:bottom w:val="single" w:sz="6" w:space="0" w:color="000080"/>
              <w:end w:val="single" w:sz="6" w:space="0" w:color="000080"/>
            </w:tcBorders>
          </w:tcPr>
          <w:p>
            <w:pPr>
              <w:pStyle w:val="Normal"/>
              <w:rPr/>
            </w:pPr>
            <w:r>
              <w:rPr/>
              <w:t>In coordination with overall NETCO file transfer date</w:t>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2"/>
              </w:numPr>
              <w:rPr/>
            </w:pPr>
            <w:r>
              <w:rPr/>
              <w:t>Test models to risk systems</w:t>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b/>
                <w:bCs/>
                <w:i/>
                <w:iCs/>
              </w:rPr>
              <w:t>Power</w:t>
            </w:r>
            <w:r>
              <w:rPr/>
              <w:t xml:space="preserve"> – Berney (or designee)</w:t>
            </w:r>
          </w:p>
          <w:p>
            <w:pPr>
              <w:pStyle w:val="Normal"/>
              <w:rPr/>
            </w:pPr>
            <w:r>
              <w:rPr>
                <w:b/>
                <w:bCs/>
                <w:i/>
                <w:iCs/>
              </w:rPr>
              <w:t>Gas</w:t>
            </w:r>
            <w:r>
              <w:rPr/>
              <w:t xml:space="preserve"> – Mark Breese</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TBD – should take a day or two</w:t>
            </w:r>
          </w:p>
        </w:tc>
        <w:tc>
          <w:tcPr>
            <w:tcW w:w="4983" w:type="dxa"/>
            <w:tcBorders>
              <w:top w:val="single" w:sz="6" w:space="0" w:color="000080"/>
              <w:start w:val="single" w:sz="6" w:space="0" w:color="000080"/>
              <w:bottom w:val="single" w:sz="6" w:space="0" w:color="000080"/>
              <w:end w:val="single" w:sz="6" w:space="0" w:color="000080"/>
            </w:tcBorders>
          </w:tcPr>
          <w:p>
            <w:pPr>
              <w:pStyle w:val="Normal"/>
              <w:rPr/>
            </w:pPr>
            <w:r>
              <w:rPr/>
              <w:t>Once #3 is complete, this process can begin. The timeframe is contingent on number of issues identified.</w:t>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bl>
    <w:p>
      <w:pPr>
        <w:pStyle w:val="Normal"/>
        <w:rPr>
          <w:b/>
          <w:bCs/>
        </w:rPr>
      </w:pPr>
      <w:r>
        <w:br w:type="page"/>
      </w:r>
      <w:r>
        <w:rPr>
          <w:b/>
          <w:bCs/>
        </w:rPr>
      </w:r>
    </w:p>
    <w:tbl>
      <w:tblPr>
        <w:tblW w:w="13176" w:type="dxa"/>
        <w:jc w:val="start"/>
        <w:tblInd w:w="0" w:type="dxa"/>
        <w:tblLayout w:type="fixed"/>
        <w:tblCellMar>
          <w:top w:w="0" w:type="dxa"/>
          <w:start w:w="108" w:type="dxa"/>
          <w:bottom w:w="0" w:type="dxa"/>
          <w:end w:w="108" w:type="dxa"/>
        </w:tblCellMar>
      </w:tblPr>
      <w:tblGrid>
        <w:gridCol w:w="3708"/>
        <w:gridCol w:w="2160"/>
        <w:gridCol w:w="2037"/>
        <w:gridCol w:w="4983"/>
        <w:gridCol w:w="288"/>
      </w:tblGrid>
      <w:tr>
        <w:trPr/>
        <w:tc>
          <w:tcPr>
            <w:tcW w:w="13176" w:type="dxa"/>
            <w:gridSpan w:val="5"/>
            <w:tcBorders>
              <w:top w:val="single" w:sz="6" w:space="0" w:color="000080"/>
              <w:start w:val="single" w:sz="6" w:space="0" w:color="000080"/>
              <w:bottom w:val="single" w:sz="6" w:space="0" w:color="000080"/>
              <w:end w:val="single" w:sz="6" w:space="0" w:color="000080"/>
            </w:tcBorders>
            <w:shd w:fill="CCCCCC" w:val="clear"/>
          </w:tcPr>
          <w:p>
            <w:pPr>
              <w:pStyle w:val="Heading3"/>
              <w:ind w:hanging="0" w:start="0"/>
              <w:rPr/>
            </w:pPr>
            <w:r>
              <w:rPr/>
              <w:t>Deal Processes/Controls</w:t>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pPr>
            <w:r>
              <w:rPr/>
              <w:t>Establish standard contract forms for identified commodity products</w:t>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t>Legal, Credit, Commercial Teams</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TBD</w:t>
            </w:r>
          </w:p>
        </w:tc>
        <w:tc>
          <w:tcPr>
            <w:tcW w:w="4983"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pPr>
            <w:r>
              <w:rPr/>
              <w:t>Establish deal approval process.</w:t>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t>Office of Chairman, Commercial Teams</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TBD</w:t>
            </w:r>
          </w:p>
        </w:tc>
        <w:tc>
          <w:tcPr>
            <w:tcW w:w="4983" w:type="dxa"/>
            <w:tcBorders>
              <w:top w:val="single" w:sz="6" w:space="0" w:color="000080"/>
              <w:start w:val="single" w:sz="6" w:space="0" w:color="000080"/>
              <w:bottom w:val="single" w:sz="6" w:space="0" w:color="000080"/>
              <w:end w:val="single" w:sz="6" w:space="0" w:color="000080"/>
            </w:tcBorders>
          </w:tcPr>
          <w:p>
            <w:pPr>
              <w:pStyle w:val="Normal"/>
              <w:rPr/>
            </w:pPr>
            <w:r>
              <w:rPr/>
              <w:t>Will there be a RAC-like entity for NETCO?</w:t>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r>
        <w:trPr/>
        <w:tc>
          <w:tcPr>
            <w:tcW w:w="13176" w:type="dxa"/>
            <w:gridSpan w:val="5"/>
            <w:tcBorders>
              <w:top w:val="single" w:sz="6" w:space="0" w:color="000080"/>
              <w:start w:val="single" w:sz="6" w:space="0" w:color="000080"/>
              <w:bottom w:val="single" w:sz="6" w:space="0" w:color="000080"/>
              <w:end w:val="single" w:sz="6" w:space="0" w:color="000080"/>
            </w:tcBorders>
            <w:shd w:fill="CCCCCC" w:val="clear"/>
          </w:tcPr>
          <w:p>
            <w:pPr>
              <w:pStyle w:val="Heading3"/>
              <w:ind w:hanging="0" w:start="0"/>
              <w:rPr/>
            </w:pPr>
            <w:r>
              <w:rPr/>
              <w:t>Back Office Execution/Reporting Capability</w:t>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3"/>
              </w:numPr>
              <w:rPr/>
            </w:pPr>
            <w:r>
              <w:rPr/>
              <w:t>Formalize deal capture process for deals from marketing.</w:t>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t>Commercial Leads,</w:t>
            </w:r>
          </w:p>
          <w:p>
            <w:pPr>
              <w:pStyle w:val="Normal"/>
              <w:rPr/>
            </w:pPr>
            <w:r>
              <w:rPr/>
              <w:t>Structuring</w:t>
            </w:r>
          </w:p>
          <w:p>
            <w:pPr>
              <w:pStyle w:val="Normal"/>
              <w:rPr/>
            </w:pPr>
            <w:r>
              <w:rPr/>
              <w:t>Power/Gas Risk Leads</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TBD</w:t>
            </w:r>
          </w:p>
        </w:tc>
        <w:tc>
          <w:tcPr>
            <w:tcW w:w="4983" w:type="dxa"/>
            <w:tcBorders>
              <w:top w:val="single" w:sz="6" w:space="0" w:color="000080"/>
              <w:start w:val="single" w:sz="6" w:space="0" w:color="000080"/>
              <w:bottom w:val="single" w:sz="6" w:space="0" w:color="000080"/>
              <w:end w:val="single" w:sz="6" w:space="0" w:color="000080"/>
            </w:tcBorders>
          </w:tcPr>
          <w:p>
            <w:pPr>
              <w:pStyle w:val="Normal"/>
              <w:rPr/>
            </w:pPr>
            <w:r>
              <w:rPr/>
              <w:t>Will there be a deal ticket process or automatic entry into risk system?</w:t>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3"/>
              </w:numPr>
              <w:rPr/>
            </w:pPr>
            <w:r>
              <w:rPr/>
              <w:t>Address P&amp;L reporting standards</w:t>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t>Accounting</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TBD</w:t>
            </w:r>
          </w:p>
        </w:tc>
        <w:tc>
          <w:tcPr>
            <w:tcW w:w="4983" w:type="dxa"/>
            <w:tcBorders>
              <w:top w:val="single" w:sz="6" w:space="0" w:color="000080"/>
              <w:start w:val="single" w:sz="6" w:space="0" w:color="000080"/>
              <w:bottom w:val="single" w:sz="6" w:space="0" w:color="000080"/>
              <w:end w:val="single" w:sz="6" w:space="0" w:color="000080"/>
            </w:tcBorders>
          </w:tcPr>
          <w:p>
            <w:pPr>
              <w:pStyle w:val="Normal"/>
              <w:rPr/>
            </w:pPr>
            <w:r>
              <w:rPr/>
              <w:t>Accural vs. MTM? ; Origination?</w:t>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r>
        <w:trPr/>
        <w:tc>
          <w:tcPr>
            <w:tcW w:w="3708" w:type="dxa"/>
            <w:tcBorders>
              <w:top w:val="single" w:sz="6" w:space="0" w:color="000080"/>
              <w:start w:val="single" w:sz="6" w:space="0" w:color="000080"/>
              <w:bottom w:val="single" w:sz="6" w:space="0" w:color="000080"/>
              <w:end w:val="single" w:sz="6" w:space="0" w:color="000080"/>
            </w:tcBorders>
          </w:tcPr>
          <w:p>
            <w:pPr>
              <w:pStyle w:val="Normal"/>
              <w:numPr>
                <w:ilvl w:val="0"/>
                <w:numId w:val="3"/>
              </w:numPr>
              <w:rPr/>
            </w:pPr>
            <w:r>
              <w:rPr/>
              <w:t>Develop Cash Flow reporting mechanisms</w:t>
            </w:r>
          </w:p>
        </w:tc>
        <w:tc>
          <w:tcPr>
            <w:tcW w:w="2160" w:type="dxa"/>
            <w:tcBorders>
              <w:top w:val="single" w:sz="6" w:space="0" w:color="000080"/>
              <w:start w:val="single" w:sz="6" w:space="0" w:color="000080"/>
              <w:bottom w:val="single" w:sz="6" w:space="0" w:color="000080"/>
              <w:end w:val="single" w:sz="6" w:space="0" w:color="000080"/>
            </w:tcBorders>
          </w:tcPr>
          <w:p>
            <w:pPr>
              <w:pStyle w:val="Normal"/>
              <w:rPr/>
            </w:pPr>
            <w:r>
              <w:rPr/>
              <w:t>Risk/Accounting, Structuring, Credit</w:t>
            </w:r>
          </w:p>
        </w:tc>
        <w:tc>
          <w:tcPr>
            <w:tcW w:w="2037" w:type="dxa"/>
            <w:tcBorders>
              <w:top w:val="single" w:sz="6" w:space="0" w:color="000080"/>
              <w:start w:val="single" w:sz="6" w:space="0" w:color="000080"/>
              <w:bottom w:val="single" w:sz="6" w:space="0" w:color="000080"/>
              <w:end w:val="single" w:sz="6" w:space="0" w:color="000080"/>
            </w:tcBorders>
          </w:tcPr>
          <w:p>
            <w:pPr>
              <w:pStyle w:val="Normal"/>
              <w:rPr/>
            </w:pPr>
            <w:r>
              <w:rPr/>
              <w:t>TBD</w:t>
            </w:r>
          </w:p>
        </w:tc>
        <w:tc>
          <w:tcPr>
            <w:tcW w:w="4983" w:type="dxa"/>
            <w:tcBorders>
              <w:top w:val="single" w:sz="6" w:space="0" w:color="000080"/>
              <w:start w:val="single" w:sz="6" w:space="0" w:color="000080"/>
              <w:bottom w:val="single" w:sz="6" w:space="0" w:color="000080"/>
              <w:end w:val="single" w:sz="6" w:space="0" w:color="000080"/>
            </w:tcBorders>
          </w:tcPr>
          <w:p>
            <w:pPr>
              <w:pStyle w:val="Normal"/>
              <w:rPr/>
            </w:pPr>
            <w:r>
              <w:rPr/>
              <w:t>Tilted Swaps, Option premiums, etc.</w:t>
            </w:r>
          </w:p>
        </w:tc>
        <w:tc>
          <w:tcPr>
            <w:tcW w:w="288"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bl>
    <w:p>
      <w:pPr>
        <w:pStyle w:val="Normal"/>
        <w:rPr/>
      </w:pPr>
      <w:r>
        <w:rPr/>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FFFFFF"/>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sz w:val="28"/>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2002-01-03T18:05:00Z</dcterms:created>
  <dc:creator>baucoin</dc:creator>
  <dc:description/>
  <dc:language>en-CA</dc:language>
  <cp:lastModifiedBy>baucoin</cp:lastModifiedBy>
  <dcterms:modified xsi:type="dcterms:W3CDTF">2002-01-03T20:38:00Z</dcterms:modified>
  <cp:revision>6</cp:revision>
  <dc:subject/>
  <dc:title>Action Items</dc:title>
</cp:coreProperties>
</file>