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w w:val="79"/>
          <w:lang w:val="en-CA"/>
        </w:rPr>
      </w:pPr>
      <w:r>
        <w:rPr>
          <w:w w:val="79"/>
          <w:lang w:val="en-CA"/>
        </w:rPr>
      </w:r>
      <w:bookmarkStart w:id="0" w:name="MEMO"/>
      <w:bookmarkStart w:id="1" w:name="MEMO"/>
      <w:bookmarkEnd w:id="1"/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2240280</wp:posOffset>
                </wp:positionH>
                <wp:positionV relativeFrom="page">
                  <wp:posOffset>1554480</wp:posOffset>
                </wp:positionV>
                <wp:extent cx="1554480" cy="2552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52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spacing w:val="40"/>
                              </w:rPr>
                              <w:t>MEMORANDUM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20.1pt;mso-wrap-distance-left:9.05pt;mso-wrap-distance-right:9.05pt;mso-wrap-distance-top:0pt;mso-wrap-distance-bottom:0pt;margin-top:122.4pt;mso-position-vertical-relative:page;margin-left:176.4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b/>
                          <w:spacing w:val="40"/>
                        </w:rPr>
                      </w:pPr>
                      <w:r>
                        <w:rPr>
                          <w:b/>
                          <w:spacing w:val="40"/>
                        </w:rPr>
                        <w:t>MEMORANDUM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w w:val="79"/>
        </w:rPr>
      </w:pPr>
      <w:r>
        <w:rPr>
          <w:w w:val="79"/>
        </w:rPr>
      </w:r>
    </w:p>
    <w:p>
      <w:pPr>
        <w:pStyle w:val="Normal"/>
        <w:rPr>
          <w:w w:val="79"/>
        </w:rPr>
      </w:pPr>
      <w:r>
        <w:rPr>
          <w:w w:val="79"/>
        </w:rPr>
      </w:r>
    </w:p>
    <w:p>
      <w:pPr>
        <w:pStyle w:val="Normal"/>
        <w:rPr>
          <w:w w:val="68"/>
        </w:rPr>
      </w:pPr>
      <w:r>
        <w:rPr>
          <w:w w:val="68"/>
        </w:rPr>
      </w:r>
    </w:p>
    <w:p>
      <w:pPr>
        <w:pStyle w:val="Normal"/>
        <w:rPr>
          <w:w w:val="68"/>
          <w:lang w:val="en-CA"/>
        </w:rPr>
      </w:pPr>
      <w:r>
        <w:rPr>
          <w:w w:val="6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-91440</wp:posOffset>
                </wp:positionH>
                <wp:positionV relativeFrom="paragraph">
                  <wp:posOffset>-356870</wp:posOffset>
                </wp:positionV>
                <wp:extent cx="3840480" cy="48641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864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BCGLogo" w:hAnsi="BCGLogo" w:cs="BCGLogo"/>
                                <w:sz w:val="70"/>
                              </w:rPr>
                            </w:pPr>
                            <w:r>
                              <w:rPr>
                                <w:rFonts w:cs="BCGLogo" w:ascii="BCGLogo" w:hAnsi="BCGLogo"/>
                                <w:sz w:val="70"/>
                              </w:rPr>
                              <w:t>1234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2.4pt;height:38.3pt;mso-wrap-distance-left:9.05pt;mso-wrap-distance-right:9.05pt;mso-wrap-distance-top:0pt;mso-wrap-distance-bottom:0pt;margin-top:-28.1pt;mso-position-vertical-relative:text;margin-left:-7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BCGLogo" w:hAnsi="BCGLogo" w:cs="BCGLogo"/>
                          <w:sz w:val="70"/>
                        </w:rPr>
                      </w:pPr>
                      <w:r>
                        <w:rPr>
                          <w:rFonts w:cs="BCGLogo" w:ascii="BCGLogo" w:hAnsi="BCGLogo"/>
                          <w:sz w:val="70"/>
                        </w:rPr>
                        <w:t>1234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pacing w:val="40"/>
          <w:w w:val="68"/>
        </w:rPr>
      </w:pPr>
      <w:r>
        <w:rPr>
          <w:spacing w:val="40"/>
          <w:w w:val="68"/>
        </w:rPr>
      </w:r>
    </w:p>
    <w:p>
      <w:pPr>
        <w:pStyle w:val="Normal"/>
        <w:rPr>
          <w:spacing w:val="60"/>
        </w:rPr>
      </w:pPr>
      <w:r>
        <w:rPr>
          <w:spacing w:val="60"/>
        </w:rPr>
      </w:r>
    </w:p>
    <w:p>
      <w:pPr>
        <w:pStyle w:val="Normal"/>
        <w:rPr>
          <w:spacing w:val="60"/>
        </w:rPr>
      </w:pPr>
      <w:r>
        <w:rPr>
          <w:spacing w:val="60"/>
        </w:rPr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4302"/>
        <w:gridCol w:w="540"/>
        <w:gridCol w:w="3240"/>
      </w:tblGrid>
      <w:tr>
        <w:trPr>
          <w:trHeight w:val="120" w:hRule="atLeast"/>
        </w:trPr>
        <w:tc>
          <w:tcPr>
            <w:tcW w:w="12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4302" w:type="dxa"/>
            <w:tcBorders/>
          </w:tcPr>
          <w:p>
            <w:pPr>
              <w:pStyle w:val="Normal"/>
              <w:rPr/>
            </w:pPr>
            <w:bookmarkStart w:id="2" w:name="to"/>
            <w:bookmarkEnd w:id="2"/>
            <w:r>
              <w:rPr/>
              <w:t>Greg Johnston</w:t>
            </w:r>
          </w:p>
        </w:tc>
        <w:tc>
          <w:tcPr>
            <w:tcW w:w="540" w:type="dxa"/>
            <w:vMerge w:val="restart"/>
            <w:tcBorders/>
          </w:tcPr>
          <w:p>
            <w:pPr>
              <w:pStyle w:val="Normal"/>
              <w:rPr>
                <w:b/>
              </w:rPr>
            </w:pPr>
            <w:bookmarkStart w:id="3" w:name="cc"/>
            <w:bookmarkEnd w:id="3"/>
            <w:r>
              <w:rPr>
                <w:b/>
              </w:rPr>
              <w:t>c:</w:t>
            </w:r>
          </w:p>
        </w:tc>
        <w:tc>
          <w:tcPr>
            <w:tcW w:w="3240" w:type="dxa"/>
            <w:vMerge w:val="restart"/>
            <w:tcBorders/>
          </w:tcPr>
          <w:p>
            <w:pPr>
              <w:pStyle w:val="Normal"/>
              <w:rPr/>
            </w:pPr>
            <w:bookmarkStart w:id="4" w:name="cctext"/>
            <w:bookmarkEnd w:id="4"/>
            <w:r>
              <w:rPr/>
              <w:t>Sue Grundy</w:t>
            </w:r>
          </w:p>
          <w:p>
            <w:pPr>
              <w:pStyle w:val="Normal"/>
              <w:rPr/>
            </w:pPr>
            <w:r>
              <w:rPr/>
              <w:t>Robert Anderson</w:t>
            </w:r>
          </w:p>
          <w:p>
            <w:pPr>
              <w:pStyle w:val="Normal"/>
              <w:rPr/>
            </w:pPr>
            <w:r>
              <w:rPr/>
              <w:t>Kevin McElcheran</w:t>
            </w:r>
          </w:p>
        </w:tc>
      </w:tr>
      <w:tr>
        <w:trPr>
          <w:trHeight w:val="285" w:hRule="atLeast"/>
        </w:trPr>
        <w:tc>
          <w:tcPr>
            <w:tcW w:w="127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02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vMerge w:val="continue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40" w:type="dxa"/>
            <w:vMerge w:val="continue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0" w:hRule="atLeast"/>
        </w:trPr>
        <w:tc>
          <w:tcPr>
            <w:tcW w:w="12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4302" w:type="dxa"/>
            <w:tcBorders/>
          </w:tcPr>
          <w:p>
            <w:pPr>
              <w:pStyle w:val="Normal"/>
              <w:rPr/>
            </w:pPr>
            <w:bookmarkStart w:id="5" w:name="from"/>
            <w:bookmarkEnd w:id="5"/>
            <w:r>
              <w:rPr/>
              <w:t>Chris A. Christopher</w:t>
            </w:r>
          </w:p>
          <w:p>
            <w:pPr>
              <w:pStyle w:val="Normal"/>
              <w:rPr/>
            </w:pPr>
            <w:r>
              <w:rPr/>
              <w:t>John Eamon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0" w:type="dxa"/>
            <w:tcBorders/>
          </w:tcPr>
          <w:p>
            <w:pPr>
              <w:pStyle w:val="Normal"/>
              <w:rPr>
                <w:b/>
              </w:rPr>
            </w:pPr>
            <w:bookmarkStart w:id="6" w:name="bclabel"/>
            <w:bookmarkEnd w:id="6"/>
            <w:r>
              <w:rPr>
                <w:b/>
              </w:rPr>
              <w:t>bc:</w:t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  <w:bookmarkStart w:id="7" w:name="bcc"/>
            <w:bookmarkStart w:id="8" w:name="bcc"/>
            <w:bookmarkEnd w:id="8"/>
          </w:p>
        </w:tc>
      </w:tr>
      <w:tr>
        <w:trPr>
          <w:trHeight w:val="467" w:hRule="atLeast"/>
        </w:trPr>
        <w:tc>
          <w:tcPr>
            <w:tcW w:w="12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302" w:type="dxa"/>
            <w:tcBorders/>
          </w:tcPr>
          <w:p>
            <w:pPr>
              <w:pStyle w:val="Normal"/>
              <w:rPr/>
            </w:pPr>
            <w:bookmarkStart w:id="9" w:name="date"/>
            <w:bookmarkEnd w:id="9"/>
            <w:r>
              <w:rPr/>
              <w:t>January 8, 2002</w:t>
            </w:r>
          </w:p>
        </w:tc>
        <w:tc>
          <w:tcPr>
            <w:tcW w:w="5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Privileged:  Prepared in Contemplation of Litigation</w:t>
            </w:r>
          </w:p>
        </w:tc>
      </w:tr>
      <w:tr>
        <w:trPr>
          <w:trHeight w:val="465" w:hRule="atLeast"/>
        </w:trPr>
        <w:tc>
          <w:tcPr>
            <w:tcW w:w="12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C/M No.:</w:t>
            </w:r>
          </w:p>
        </w:tc>
        <w:tc>
          <w:tcPr>
            <w:tcW w:w="4302" w:type="dxa"/>
            <w:tcBorders/>
          </w:tcPr>
          <w:p>
            <w:pPr>
              <w:pStyle w:val="Normal"/>
              <w:rPr/>
            </w:pPr>
            <w:bookmarkStart w:id="10" w:name="reference"/>
            <w:bookmarkEnd w:id="10"/>
            <w:r>
              <w:rPr/>
              <w:t>83829/68</w:t>
            </w:r>
          </w:p>
        </w:tc>
        <w:tc>
          <w:tcPr>
            <w:tcW w:w="5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3" w:hRule="atLeast"/>
        </w:trPr>
        <w:tc>
          <w:tcPr>
            <w:tcW w:w="12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RE:</w:t>
            </w:r>
          </w:p>
        </w:tc>
        <w:tc>
          <w:tcPr>
            <w:tcW w:w="8082" w:type="dxa"/>
            <w:gridSpan w:val="3"/>
            <w:tcBorders/>
          </w:tcPr>
          <w:p>
            <w:pPr>
              <w:pStyle w:val="Normal"/>
              <w:rPr/>
            </w:pPr>
            <w:bookmarkStart w:id="11" w:name="re"/>
            <w:bookmarkEnd w:id="11"/>
            <w:r>
              <w:rPr/>
              <w:t>Action List - Project Blossom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5943600" cy="0"/>
                <wp:effectExtent l="0" t="9525" r="0" b="952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0.55pt" to="539.95pt,10.55pt" stroked="t" o:allowincell="f" style="position:absolute;mso-position-horizontal-relative:pag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ind w:firstLine="720" w:end="0"/>
        <w:rPr/>
      </w:pPr>
      <w:r>
        <w:rPr/>
        <w:t>As a result of our contract review, we have identified the following:</w:t>
      </w:r>
    </w:p>
    <w:p>
      <w:pPr>
        <w:pStyle w:val="Normal"/>
        <w:ind w:firstLine="720" w:end="0"/>
        <w:rPr/>
      </w:pPr>
      <w:r>
        <w:rPr/>
      </w:r>
    </w:p>
    <w:p>
      <w:pPr>
        <w:pStyle w:val="StandardL1"/>
        <w:numPr>
          <w:ilvl w:val="0"/>
          <w:numId w:val="2"/>
        </w:numPr>
        <w:ind w:hanging="0" w:start="0"/>
        <w:rPr/>
      </w:pPr>
      <w:r>
        <w:rPr>
          <w:u w:val="single"/>
        </w:rPr>
        <w:t>Physicals:  Recalculation of Early Termination Dates</w:t>
      </w:r>
    </w:p>
    <w:p>
      <w:pPr>
        <w:pStyle w:val="NumContinue"/>
        <w:rPr/>
      </w:pPr>
      <w:r>
        <w:rPr/>
        <w:t>ECC sent letters terminating the physical contracts for the counterparties listed below.  The contract review revealed that the ETD referenced in the letters have been incorrectly calculated.  Accordingly, a follow up letter should be sent to the counterparty confirming the revised ETD (referenced below) and reaffirming the termination of the contract.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El Paso Merchant Energy, LP </w:t>
      </w:r>
      <w:r>
        <w:rPr/>
        <w:t>(MF dated 02/21/92).  ETD should be February 1, 2002.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Williams Energy Marketing &amp; Trading Co.</w:t>
      </w:r>
      <w:r>
        <w:rPr/>
        <w:t xml:space="preserve"> (MF dated 12/23/96).  ETD should be February 1, 2002.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Calpine Canada Natural Gas Partnership </w:t>
      </w:r>
      <w:r>
        <w:rPr/>
        <w:t>(formerly Encal Energy Ltd.) (MF dated 08/01/96).  ETD should be February 1, 2002.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AEC Storage &amp; Hub Services </w:t>
      </w:r>
      <w:r>
        <w:rPr/>
        <w:t>(MF dated 04/20/98).  ETD should be February 1, 2002.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AEC Marketing </w:t>
      </w:r>
      <w:r>
        <w:rPr/>
        <w:t>(MF dated 03/05/97).  ETD should be February 1, 2002.</w:t>
      </w:r>
    </w:p>
    <w:p>
      <w:pPr>
        <w:pStyle w:val="StandardL1"/>
        <w:numPr>
          <w:ilvl w:val="0"/>
          <w:numId w:val="2"/>
        </w:numPr>
        <w:ind w:hanging="0" w:start="0"/>
        <w:rPr/>
      </w:pPr>
      <w:r>
        <w:rPr>
          <w:u w:val="single"/>
        </w:rPr>
        <w:t>Missing Contracts</w:t>
      </w:r>
    </w:p>
    <w:p>
      <w:pPr>
        <w:pStyle w:val="NumContinue"/>
        <w:rPr/>
      </w:pPr>
      <w:r>
        <w:rPr/>
        <w:t>We were unable to locate contracts for the following counterparties and therefore our review remains incomplete in respect thereof: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ATCO Midstream Ltd.</w:t>
      </w:r>
      <w:r>
        <w:rPr/>
        <w:t xml:space="preserve">  MF dated 04/20/00 is unexecuted; any transactions outstanding?  ATCO also failed to pay for November deliveries.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Calpine Canada Natural Gas Partnership </w:t>
      </w:r>
      <w:r>
        <w:rPr/>
        <w:t>(formerly Orbit).  MF dated 06/30/94.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Contour Energy Ltd.</w:t>
      </w:r>
      <w:r>
        <w:rPr/>
        <w:t xml:space="preserve">  Also not on Exposure Report.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IGI Resources Inc. </w:t>
      </w:r>
      <w:r>
        <w:rPr/>
        <w:t xml:space="preserve"> Possibly an under 31 day agreement?  Also, financial not located.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Boston Gas Company  </w:t>
      </w:r>
      <w:r>
        <w:rPr/>
        <w:t>ECC advises there is no file.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Enron Natural Gas Marketing Corp.  </w:t>
      </w:r>
      <w:r>
        <w:rPr/>
        <w:t>File contains an unsigned MF only.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Husky Oil Operations Limited </w:t>
      </w:r>
      <w:r>
        <w:rPr/>
        <w:t>(July 1, 1996 Gas Sale Agreement)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J. Aron &amp; Company  </w:t>
      </w:r>
      <w:r>
        <w:rPr/>
        <w:t>They have also failed to pay, but contract is apparently 2 way ITM and J. Aron has purported to terminate.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Kaiser Aluminum and Chemical Corporation  </w:t>
      </w:r>
      <w:r>
        <w:rPr/>
        <w:t>Kaiser has also failed to pay.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Lakeridge Health Corporation  </w:t>
      </w:r>
      <w:r>
        <w:rPr/>
        <w:t>LHC also failed to pay.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Natural Gas Exchange Inc.  </w:t>
      </w:r>
      <w:r>
        <w:rPr/>
        <w:t>ECC advises no file.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Tenaska Marketing Canada  </w:t>
      </w:r>
      <w:r>
        <w:rPr/>
        <w:t>MF dated 02/04/97 is missing.  We were provided with a GTC only.  TMC is also not on the Exposure Report.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Texaco Canada Petroleum Inc.</w:t>
      </w:r>
      <w:r>
        <w:rPr/>
        <w:t xml:space="preserve">  Apparently TCPI terminated a July 26, 2000 transaction which we could not locate.</w:t>
      </w:r>
    </w:p>
    <w:p>
      <w:pPr>
        <w:pStyle w:val="StandardL2"/>
        <w:numPr>
          <w:ilvl w:val="1"/>
          <w:numId w:val="2"/>
        </w:numPr>
        <w:ind w:hanging="0" w:start="0"/>
        <w:rPr>
          <w:b/>
        </w:rPr>
      </w:pPr>
      <w:r>
        <w:rPr>
          <w:b/>
        </w:rPr>
        <w:t>Unocal Canada Limited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Utilicorp United Inc.</w:t>
      </w:r>
      <w:r>
        <w:rPr/>
        <w:t xml:space="preserve">  Apparently no file exists.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Conoco Canada Limited</w:t>
      </w:r>
      <w:r>
        <w:rPr/>
        <w:t xml:space="preserve">  Master Firm physical contract dated 06/30/94 is missing.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Rio Alto Exploration Ltd.</w:t>
      </w:r>
      <w:r>
        <w:rPr/>
        <w:t xml:space="preserve">  We were provided with Confirmation Letter Y73864.1, which was unsigned.  Counterparty purported to calculate damages for Y73864.1, Y05143.1, Y73976.1, Y73864.2 and Y73864.3.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IMC Canada Ltd.</w:t>
      </w:r>
      <w:r>
        <w:rPr/>
        <w:t xml:space="preserve">  Financial contract missing.</w:t>
      </w:r>
    </w:p>
    <w:p>
      <w:pPr>
        <w:pStyle w:val="StandardL1"/>
        <w:numPr>
          <w:ilvl w:val="0"/>
          <w:numId w:val="2"/>
        </w:numPr>
        <w:ind w:hanging="0" w:start="0"/>
        <w:rPr/>
      </w:pPr>
      <w:r>
        <w:rPr>
          <w:u w:val="single"/>
        </w:rPr>
        <w:t>Miscellaneous Matters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Talisman Energy Inc. (Talisman/Highridge)</w:t>
      </w:r>
      <w:r>
        <w:rPr/>
        <w:t>.  ECC to advise if receivable is outstanding and payable pursuant to the Talisman ISDA, Highridge ISDA or both.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Weyerhauser Saskatchewan Ltd.</w:t>
      </w:r>
      <w:r>
        <w:rPr/>
        <w:t xml:space="preserve">  ECC to advise whether there are any receivables are outstanding under Deal No. EZ2627.2 or NP4129.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AEC Marketing/AEC Storage &amp; Hub Services</w:t>
      </w:r>
      <w:r>
        <w:rPr/>
        <w:t>.  Please confirm that this is the same entity as AEC Oil and Gas Partnership, which appears on the exposure report.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 xml:space="preserve">BP Canada Energy Company.  </w:t>
      </w:r>
      <w:r>
        <w:rPr/>
        <w:t>The copy of the Master Netting Agreement in our possession is unexecuted by the Enron group of companies.  ECC to advise whether a fully executed copy exists.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ATCO Midstream Ltd.</w:t>
      </w:r>
      <w:r>
        <w:rPr/>
        <w:t xml:space="preserve">  The MF dated 04/20/00 provided for our review has not been executed.  Are there any transactions outstanding under the MF?  Is it possible that ATCO Midstream's receivable is under a power agreement?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Cook Inlet Energy Supply LLC.</w:t>
      </w:r>
      <w:r>
        <w:rPr/>
        <w:t xml:space="preserve">  The GTC dated 04/26/00 was provided for our review.  Is this the correct contract, as deliveries under the GTC expired in June 2000.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Natural Gas Exchange Inc.</w:t>
      </w:r>
      <w:r>
        <w:rPr/>
        <w:t xml:space="preserve">  Is this the same as NGX Canada Inc. or NGX Financial Inc.?</w:t>
      </w:r>
    </w:p>
    <w:p>
      <w:pPr>
        <w:pStyle w:val="StandardL2"/>
        <w:numPr>
          <w:ilvl w:val="1"/>
          <w:numId w:val="2"/>
        </w:numPr>
        <w:ind w:hanging="0" w:start="0"/>
        <w:rPr/>
      </w:pPr>
      <w:r>
        <w:rPr>
          <w:b/>
        </w:rPr>
        <w:t>Reliant Energy Services Canada, Ltd.</w:t>
      </w:r>
      <w:r>
        <w:rPr/>
        <w:t xml:space="preserve">  On the receivables/payables reports prepared by ECC it is noted that US $220,078.46 is payable to Reliant Energy Services Inc.  Is this the same as Reliant Energy Services Canada, Ltd. or is there another contract for Reliant Energy Services Inc.?</w:t>
      </w:r>
    </w:p>
    <w:p>
      <w:pPr>
        <w:pStyle w:val="BodyText"/>
        <w:jc w:val="center"/>
        <w:rPr/>
      </w:pPr>
      <w:r>
        <w:rPr/>
        <w:t>* * * *</w:t>
      </w:r>
    </w:p>
    <w:p>
      <w:pPr>
        <w:pStyle w:val="BodyText"/>
        <w:spacing w:before="0" w:after="240"/>
        <w:rPr/>
      </w:pPr>
      <w:r>
        <w:rPr/>
        <w:tab/>
        <w:t>Please do not hesitate to contact Chris Christopher (260.9662) or John Eamon (260.9724) should you have any questions in respect of the foregoing.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776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CGLogo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30415917.1</w:t>
    </w:r>
    <w:r>
      <w:rPr/>
      <w:fldChar w:fldCharType="end"/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30415917.1</w:t>
    </w:r>
    <w:r>
      <w:rPr/>
      <w:fldChar w:fldCharType="end"/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6456045</wp:posOffset>
              </wp:positionH>
              <wp:positionV relativeFrom="page">
                <wp:posOffset>969645</wp:posOffset>
              </wp:positionV>
              <wp:extent cx="410845" cy="175260"/>
              <wp:effectExtent l="0" t="0" r="0" b="0"/>
              <wp:wrapSquare wrapText="bothSides"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.35pt;height:13.8pt;mso-wrap-distance-left:0pt;mso-wrap-distance-right:0pt;mso-wrap-distance-top:0pt;mso-wrap-distance-bottom:0pt;margin-top:76.35pt;mso-position-vertical-relative:page;margin-left:508.3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2">
      <w:start w:val="1"/>
      <w:numFmt w:val="lowerRoman"/>
      <w:lvlText w:val="(%3)"/>
      <w:lvlJc w:val="end"/>
      <w:pPr>
        <w:tabs>
          <w:tab w:val="num" w:pos="2304"/>
        </w:tabs>
        <w:ind w:start="2304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3">
      <w:start w:val="1"/>
      <w:numFmt w:val="upperLetter"/>
      <w:lvlText w:val="%4."/>
      <w:lvlJc w:val="start"/>
      <w:pPr>
        <w:tabs>
          <w:tab w:val="num" w:pos="3024"/>
        </w:tabs>
        <w:ind w:start="3024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4">
      <w:start w:val="1"/>
      <w:numFmt w:val="upperRoman"/>
      <w:lvlText w:val="%5."/>
      <w:lvlJc w:val="end"/>
      <w:pPr>
        <w:tabs>
          <w:tab w:val="num" w:pos="3888"/>
        </w:tabs>
        <w:ind w:start="3888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5">
      <w:start w:val="1"/>
      <w:numFmt w:val="lowerRoman"/>
      <w:lvlText w:val="%6."/>
      <w:lvlJc w:val="end"/>
      <w:pPr>
        <w:tabs>
          <w:tab w:val="num" w:pos="4752"/>
        </w:tabs>
        <w:ind w:start="475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6">
      <w:start w:val="1"/>
      <w:numFmt w:val="decimal"/>
      <w:lvlText w:val="%7)"/>
      <w:lvlJc w:val="start"/>
      <w:pPr>
        <w:tabs>
          <w:tab w:val="num" w:pos="5472"/>
        </w:tabs>
        <w:ind w:start="5472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7">
      <w:start w:val="1"/>
      <w:numFmt w:val="lowerLetter"/>
      <w:lvlText w:val="%8)"/>
      <w:lvlJc w:val="start"/>
      <w:pPr>
        <w:tabs>
          <w:tab w:val="num" w:pos="6192"/>
        </w:tabs>
        <w:ind w:start="6192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8">
      <w:start w:val="1"/>
      <w:numFmt w:val="lowerRoman"/>
      <w:lvlText w:val="%9)"/>
      <w:lvlJc w:val="end"/>
      <w:pPr>
        <w:tabs>
          <w:tab w:val="num" w:pos="7056"/>
        </w:tabs>
        <w:ind w:start="7056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CurrentTOCScheme" w:val="Standard"/>
    <w:docVar w:name="zzmpFixedCurScheme" w:val="Standard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  <w:lang w:val="en-CA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  <w:lang w:val="en-C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40" w:after="60"/>
      <w:outlineLvl w:val="2"/>
    </w:pPr>
    <w:rPr>
      <w:lang w:val="en-CA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40" w:after="60"/>
      <w:outlineLvl w:val="3"/>
    </w:pPr>
    <w:rPr>
      <w:b/>
      <w:lang w:val="en-CA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60"/>
      <w:outlineLvl w:val="4"/>
    </w:pPr>
    <w:rPr>
      <w:sz w:val="22"/>
      <w:lang w:val="en-CA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40" w:after="60"/>
      <w:outlineLvl w:val="5"/>
    </w:pPr>
    <w:rPr>
      <w:i/>
      <w:sz w:val="22"/>
      <w:lang w:val="en-CA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240" w:after="60"/>
      <w:outlineLvl w:val="6"/>
    </w:pPr>
    <w:rPr>
      <w:lang w:val="en-CA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40" w:after="60"/>
      <w:outlineLvl w:val="7"/>
    </w:pPr>
    <w:rPr>
      <w:i/>
      <w:lang w:val="en-CA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lang w:val="en-C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zzmpTCEntryL1">
    <w:name w:val="zzmpTCEntryL1"/>
    <w:basedOn w:val="DefaultParagraphFont"/>
    <w:qFormat/>
    <w:rPr>
      <w:color w:val="0000FF"/>
    </w:rPr>
  </w:style>
  <w:style w:type="character" w:styleId="zzmpTCEntryL2">
    <w:name w:val="zzmpTCEntryL2"/>
    <w:basedOn w:val="DefaultParagraphFont"/>
    <w:qFormat/>
    <w:rPr>
      <w:color w:val="0000FF"/>
    </w:rPr>
  </w:style>
  <w:style w:type="character" w:styleId="zzmpTCEntryL3">
    <w:name w:val="zzmpTCEntryL3"/>
    <w:basedOn w:val="DefaultParagraphFont"/>
    <w:qFormat/>
    <w:rPr>
      <w:color w:val="0000FF"/>
    </w:rPr>
  </w:style>
  <w:style w:type="character" w:styleId="zzmpTCEntryL4">
    <w:name w:val="zzmpTCEntryL4"/>
    <w:basedOn w:val="DefaultParagraphFont"/>
    <w:qFormat/>
    <w:rPr>
      <w:color w:val="0000FF"/>
    </w:rPr>
  </w:style>
  <w:style w:type="character" w:styleId="zzmpTCEntryL5">
    <w:name w:val="zzmpTCEntryL5"/>
    <w:basedOn w:val="DefaultParagraphFont"/>
    <w:qFormat/>
    <w:rPr>
      <w:color w:val="0000FF"/>
    </w:rPr>
  </w:style>
  <w:style w:type="character" w:styleId="zzmpTCEntryL6">
    <w:name w:val="zzmpTCEntryL6"/>
    <w:basedOn w:val="DefaultParagraphFont"/>
    <w:qFormat/>
    <w:rPr>
      <w:color w:val="0000FF"/>
    </w:rPr>
  </w:style>
  <w:style w:type="character" w:styleId="zzmpTCEntryL7">
    <w:name w:val="zzmpTCEntryL7"/>
    <w:basedOn w:val="DefaultParagraphFont"/>
    <w:qFormat/>
    <w:rPr>
      <w:color w:val="0000FF"/>
    </w:rPr>
  </w:style>
  <w:style w:type="character" w:styleId="zzmpTCEntryL8">
    <w:name w:val="zzmpTCEntryL8"/>
    <w:basedOn w:val="DefaultParagraphFont"/>
    <w:qFormat/>
    <w:rPr>
      <w:color w:val="0000FF"/>
    </w:rPr>
  </w:style>
  <w:style w:type="character" w:styleId="zzmpTCEntryL9">
    <w:name w:val="zzmpTCEntryL9"/>
    <w:basedOn w:val="DefaultParagraphFont"/>
    <w:qFormat/>
    <w:rPr>
      <w:color w:val="0000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lang w:val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BodyText"/>
    <w:next w:val="BodyText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lang w:val="en-CA"/>
    </w:rPr>
  </w:style>
  <w:style w:type="paragraph" w:styleId="Footer">
    <w:name w:val="footer"/>
    <w:basedOn w:val="Normal"/>
    <w:pPr/>
    <w:rPr>
      <w:sz w:val="16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480"/>
    </w:pPr>
    <w:rPr/>
  </w:style>
  <w:style w:type="paragraph" w:styleId="BodyText3">
    <w:name w:val="Body Text 3"/>
    <w:basedOn w:val="BodyText"/>
    <w:qFormat/>
    <w:pPr>
      <w:spacing w:before="0" w:after="160"/>
    </w:pPr>
    <w:rPr>
      <w:sz w:val="16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Indent2">
    <w:name w:val="Body Text Indent 2"/>
    <w:basedOn w:val="BodyText"/>
    <w:qFormat/>
    <w:pPr>
      <w:ind w:hanging="0" w:start="1440" w:end="0"/>
    </w:pPr>
    <w:rPr/>
  </w:style>
  <w:style w:type="paragraph" w:styleId="BodyTextIndent3">
    <w:name w:val="Body Text Indent 3"/>
    <w:basedOn w:val="BodyText"/>
    <w:qFormat/>
    <w:pPr>
      <w:spacing w:lineRule="auto" w:line="480" w:before="0" w:after="480"/>
      <w:ind w:hanging="0" w:start="720" w:end="0"/>
    </w:pPr>
    <w:rPr/>
  </w:style>
  <w:style w:type="paragraph" w:styleId="Closing">
    <w:name w:val="Closing"/>
    <w:basedOn w:val="Normal"/>
    <w:qFormat/>
    <w:pPr>
      <w:ind w:hanging="0" w:start="4320" w:end="0"/>
    </w:pPr>
    <w:rPr>
      <w:lang w:val="en-CA"/>
    </w:rPr>
  </w:style>
  <w:style w:type="paragraph" w:styleId="CommentText">
    <w:name w:val="Comment Text"/>
    <w:basedOn w:val="BodyText"/>
    <w:qFormat/>
    <w:pPr/>
    <w:rPr>
      <w:sz w:val="20"/>
    </w:rPr>
  </w:style>
  <w:style w:type="paragraph" w:styleId="Date">
    <w:name w:val="Date"/>
    <w:basedOn w:val="BodyText"/>
    <w:next w:val="BodyText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umContinue">
    <w:name w:val="Num Continue"/>
    <w:basedOn w:val="BodyText"/>
    <w:qFormat/>
    <w:pPr>
      <w:ind w:firstLine="720" w:start="0" w:end="0"/>
    </w:pPr>
    <w:rPr/>
  </w:style>
  <w:style w:type="paragraph" w:styleId="StandardL1">
    <w:name w:val="Standard_L1"/>
    <w:basedOn w:val="Normal"/>
    <w:next w:val="NumContinue"/>
    <w:qFormat/>
    <w:pPr>
      <w:numPr>
        <w:ilvl w:val="0"/>
        <w:numId w:val="2"/>
      </w:numPr>
      <w:spacing w:before="0" w:after="240"/>
      <w:outlineLvl w:val="0"/>
    </w:pPr>
    <w:rPr>
      <w:lang w:val="en-US"/>
    </w:rPr>
  </w:style>
  <w:style w:type="paragraph" w:styleId="StandardL2">
    <w:name w:val="Standard_L2"/>
    <w:basedOn w:val="StandardL1"/>
    <w:next w:val="NumContinue"/>
    <w:qFormat/>
    <w:pPr>
      <w:numPr>
        <w:ilvl w:val="0"/>
        <w:numId w:val="2"/>
      </w:numPr>
      <w:outlineLvl w:val="1"/>
    </w:pPr>
    <w:rPr/>
  </w:style>
  <w:style w:type="paragraph" w:styleId="StandardL3">
    <w:name w:val="Standard_L3"/>
    <w:basedOn w:val="StandardL2"/>
    <w:next w:val="NumContinue"/>
    <w:qFormat/>
    <w:pPr>
      <w:numPr>
        <w:ilvl w:val="0"/>
        <w:numId w:val="2"/>
      </w:numPr>
      <w:outlineLvl w:val="2"/>
    </w:pPr>
    <w:rPr/>
  </w:style>
  <w:style w:type="paragraph" w:styleId="StandardL4">
    <w:name w:val="Standard_L4"/>
    <w:basedOn w:val="StandardL3"/>
    <w:next w:val="NumContinue"/>
    <w:qFormat/>
    <w:pPr>
      <w:numPr>
        <w:ilvl w:val="0"/>
        <w:numId w:val="2"/>
      </w:numPr>
      <w:outlineLvl w:val="3"/>
    </w:pPr>
    <w:rPr/>
  </w:style>
  <w:style w:type="paragraph" w:styleId="StandardL5">
    <w:name w:val="Standard_L5"/>
    <w:basedOn w:val="StandardL4"/>
    <w:next w:val="NumContinue"/>
    <w:qFormat/>
    <w:pPr>
      <w:numPr>
        <w:ilvl w:val="0"/>
        <w:numId w:val="2"/>
      </w:numPr>
      <w:outlineLvl w:val="4"/>
    </w:pPr>
    <w:rPr/>
  </w:style>
  <w:style w:type="paragraph" w:styleId="StandardL6">
    <w:name w:val="Standard_L6"/>
    <w:basedOn w:val="StandardL5"/>
    <w:next w:val="NumContinue"/>
    <w:qFormat/>
    <w:pPr>
      <w:numPr>
        <w:ilvl w:val="0"/>
        <w:numId w:val="2"/>
      </w:numPr>
      <w:outlineLvl w:val="5"/>
    </w:pPr>
    <w:rPr/>
  </w:style>
  <w:style w:type="paragraph" w:styleId="StandardL7">
    <w:name w:val="Standard_L7"/>
    <w:basedOn w:val="StandardL6"/>
    <w:next w:val="NumContinue"/>
    <w:qFormat/>
    <w:pPr>
      <w:numPr>
        <w:ilvl w:val="0"/>
        <w:numId w:val="2"/>
      </w:numPr>
      <w:outlineLvl w:val="6"/>
    </w:pPr>
    <w:rPr/>
  </w:style>
  <w:style w:type="paragraph" w:styleId="StandardL8">
    <w:name w:val="Standard_L8"/>
    <w:basedOn w:val="StandardL7"/>
    <w:next w:val="NumContinue"/>
    <w:qFormat/>
    <w:pPr>
      <w:numPr>
        <w:ilvl w:val="0"/>
        <w:numId w:val="2"/>
      </w:numPr>
      <w:outlineLvl w:val="7"/>
    </w:pPr>
    <w:rPr/>
  </w:style>
  <w:style w:type="paragraph" w:styleId="StandardL9">
    <w:name w:val="Standard_L9"/>
    <w:basedOn w:val="StandardL8"/>
    <w:next w:val="NumContinue"/>
    <w:qFormat/>
    <w:pPr>
      <w:numPr>
        <w:ilvl w:val="0"/>
        <w:numId w:val="2"/>
      </w:numPr>
      <w:outlineLvl w:val="8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250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2002-01-08T02:16:00Z</dcterms:created>
  <dc:creator>chr</dc:creator>
  <dc:description/>
  <dc:language>en-CA</dc:language>
  <cp:lastModifiedBy>chr</cp:lastModifiedBy>
  <cp:lastPrinted>2002-01-09T00:44:00Z</cp:lastPrinted>
  <dcterms:modified xsi:type="dcterms:W3CDTF">2002-01-09T05:16:00Z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30415917.1</vt:lpwstr>
  </property>
</Properties>
</file>