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sz w:val="16"/>
        </w:rPr>
      </w:pPr>
      <w:r>
        <w:rPr>
          <w:b/>
          <w:sz w:val="16"/>
        </w:rPr>
        <w:t>Memorandum of Understanding</w:t>
      </w:r>
    </w:p>
    <w:p>
      <w:pPr>
        <w:pStyle w:val="Normal"/>
        <w:rPr>
          <w:b/>
          <w:sz w:val="16"/>
        </w:rPr>
      </w:pPr>
      <w:r>
        <w:rPr>
          <w:b/>
          <w:sz w:val="16"/>
        </w:rPr>
      </w:r>
    </w:p>
    <w:p>
      <w:pPr>
        <w:pStyle w:val="Normal"/>
        <w:jc w:val="center"/>
        <w:rPr>
          <w:sz w:val="16"/>
        </w:rPr>
      </w:pPr>
      <w:r>
        <w:rPr>
          <w:sz w:val="16"/>
        </w:rPr>
      </w:r>
    </w:p>
    <w:p>
      <w:pPr>
        <w:pStyle w:val="Normal"/>
        <w:jc w:val="center"/>
        <w:rPr>
          <w:sz w:val="16"/>
        </w:rPr>
      </w:pPr>
      <w:r>
        <w:rPr>
          <w:sz w:val="16"/>
        </w:rPr>
      </w:r>
    </w:p>
    <w:p>
      <w:pPr>
        <w:pStyle w:val="Normal"/>
        <w:rPr/>
      </w:pPr>
      <w:r>
        <w:rPr>
          <w:sz w:val="16"/>
        </w:rPr>
        <w:t xml:space="preserve">This Memorandum of Understanding (“MOU”) is made this ___ day of October, 2000 (“Effective Date”), between </w:t>
      </w:r>
      <w:r>
        <w:rPr>
          <w:sz w:val="16"/>
          <w:lang w:eastAsia="en-US"/>
        </w:rPr>
        <w:t xml:space="preserve">Enron North America Corp, Enron Net Works LLC and EnronOnline, LLC (collectively, “Enron”) </w:t>
      </w:r>
      <w:r>
        <w:rPr>
          <w:sz w:val="16"/>
        </w:rPr>
        <w:t>and Acta Technology, Inc., a California corporation with offices at 1667 Plymouth Street, Mountain View, CA 94303 (“Acta” collectively, with Enron, “Parties”).</w:t>
      </w:r>
    </w:p>
    <w:p>
      <w:pPr>
        <w:pStyle w:val="Normal"/>
        <w:rPr>
          <w:b/>
          <w:sz w:val="16"/>
        </w:rPr>
      </w:pPr>
      <w:r>
        <w:rPr>
          <w:b/>
          <w:sz w:val="16"/>
        </w:rPr>
      </w:r>
    </w:p>
    <w:p>
      <w:pPr>
        <w:pStyle w:val="BodyText2"/>
        <w:spacing w:before="0" w:after="120"/>
        <w:rPr/>
      </w:pPr>
      <w:r>
        <w:rPr/>
        <w:t>Enron and Acta agree in good faith to work together to introduce Acta into a business with Financial Settlement Matrix, Inc. (“Settlement Matrix”).  Enron will act as an agent to introduce Acta to the Settlement Matrix.  Acta intends to serve as: 1) a potential marketing channel for Settlement Exchange services, and  2) A technology which may be used to integrate exchange customers with exchange services.  Enron will endeavor to introduce Acta to management of Settlement Matrix.  Enron and Acta intend to work together to identify current and future Acta products that may be used to allow exchange customers to integrate their back-office systems via Acta’s data platform solutions.  Once a specific agreement is reached between Acta and Settlement Matrix, Enron’s obligation as of the originator the relationship will be completed, though both parties may continue to support each other in joint marketing initiatives at either companies discretion.</w:t>
      </w:r>
    </w:p>
    <w:p>
      <w:pPr>
        <w:pStyle w:val="Normal"/>
        <w:rPr/>
      </w:pPr>
      <w:r>
        <w:rPr>
          <w:sz w:val="16"/>
        </w:rPr>
        <w:t>1.</w:t>
        <w:tab/>
      </w:r>
      <w:r>
        <w:rPr>
          <w:b/>
          <w:sz w:val="16"/>
          <w:u w:val="single"/>
        </w:rPr>
        <w:t xml:space="preserve">Transaction </w:t>
      </w:r>
      <w:r>
        <w:rPr>
          <w:sz w:val="16"/>
        </w:rPr>
        <w:t>.  The following describes the Parties’ current understanding regarding the Transaction:</w:t>
      </w:r>
    </w:p>
    <w:p>
      <w:pPr>
        <w:pStyle w:val="Normal"/>
        <w:rPr>
          <w:sz w:val="16"/>
        </w:rPr>
      </w:pPr>
      <w:r>
        <w:rPr>
          <w:sz w:val="16"/>
        </w:rPr>
      </w:r>
    </w:p>
    <w:p>
      <w:pPr>
        <w:pStyle w:val="Normal"/>
        <w:rPr/>
      </w:pPr>
      <w:r>
        <w:rPr>
          <w:sz w:val="16"/>
        </w:rPr>
        <w:t>1.1</w:t>
        <w:tab/>
      </w:r>
      <w:r>
        <w:rPr>
          <w:b/>
          <w:sz w:val="16"/>
          <w:u w:val="single"/>
        </w:rPr>
        <w:t>Enron Obligations.</w:t>
      </w:r>
      <w:r>
        <w:rPr>
          <w:sz w:val="16"/>
        </w:rPr>
        <w:t xml:space="preserve">  Enron will:</w:t>
      </w:r>
    </w:p>
    <w:p>
      <w:pPr>
        <w:pStyle w:val="Normal"/>
        <w:rPr>
          <w:sz w:val="16"/>
        </w:rPr>
      </w:pPr>
      <w:r>
        <w:rPr>
          <w:sz w:val="16"/>
        </w:rPr>
      </w:r>
    </w:p>
    <w:p>
      <w:pPr>
        <w:pStyle w:val="Normal"/>
        <w:numPr>
          <w:ilvl w:val="2"/>
          <w:numId w:val="2"/>
        </w:numPr>
        <w:rPr>
          <w:sz w:val="16"/>
        </w:rPr>
      </w:pPr>
      <w:r>
        <w:rPr>
          <w:sz w:val="16"/>
        </w:rPr>
        <w:t>Endeavor to provide access to Settlement Matrix management in the form of scheduled meetings, by year end 2000</w:t>
      </w:r>
    </w:p>
    <w:p>
      <w:pPr>
        <w:pStyle w:val="Normal"/>
        <w:rPr>
          <w:sz w:val="16"/>
        </w:rPr>
      </w:pPr>
      <w:r>
        <w:rPr>
          <w:sz w:val="16"/>
        </w:rPr>
      </w:r>
    </w:p>
    <w:p>
      <w:pPr>
        <w:pStyle w:val="Normal"/>
        <w:numPr>
          <w:ilvl w:val="2"/>
          <w:numId w:val="2"/>
        </w:numPr>
        <w:rPr>
          <w:sz w:val="16"/>
        </w:rPr>
      </w:pPr>
      <w:r>
        <w:rPr>
          <w:sz w:val="16"/>
        </w:rPr>
        <w:t>Work with Acta to validate and test integration with the exchange using Acta technology.  Specifically Enron engineers with review Acta technology documentation and, if appropriate, test integration using Acta products.</w:t>
      </w:r>
    </w:p>
    <w:p>
      <w:pPr>
        <w:pStyle w:val="Normal"/>
        <w:rPr>
          <w:sz w:val="16"/>
        </w:rPr>
      </w:pPr>
      <w:r>
        <w:rPr>
          <w:sz w:val="16"/>
        </w:rPr>
      </w:r>
    </w:p>
    <w:p>
      <w:pPr>
        <w:pStyle w:val="Normal"/>
        <w:ind w:hanging="720" w:start="1440" w:end="0"/>
        <w:rPr>
          <w:b/>
          <w:sz w:val="16"/>
        </w:rPr>
      </w:pPr>
      <w:r>
        <w:rPr>
          <w:sz w:val="16"/>
        </w:rPr>
        <w:t>1.1.3</w:t>
        <w:tab/>
        <w:t xml:space="preserve">Work with Acta to prepare joint marketing plans for introducing potential customers of Acta and Settlement Matrix services.  Plans may include efforts to identify, attract, and sign end customers of joint services or the creation of bundled offerings.  Bundled offerings may include other Settlement Matrix equity participants, such as I2. </w:t>
      </w:r>
    </w:p>
    <w:p>
      <w:pPr>
        <w:pStyle w:val="Normal"/>
        <w:rPr>
          <w:b/>
          <w:sz w:val="16"/>
        </w:rPr>
      </w:pPr>
      <w:r>
        <w:rPr>
          <w:b/>
          <w:sz w:val="16"/>
        </w:rPr>
      </w:r>
    </w:p>
    <w:p>
      <w:pPr>
        <w:pStyle w:val="Normal"/>
        <w:rPr/>
      </w:pPr>
      <w:r>
        <w:rPr>
          <w:sz w:val="16"/>
        </w:rPr>
        <w:t xml:space="preserve">1.2 </w:t>
        <w:tab/>
      </w:r>
      <w:r>
        <w:rPr>
          <w:b/>
          <w:sz w:val="16"/>
          <w:u w:val="single"/>
        </w:rPr>
        <w:t>Acta Obligations</w:t>
      </w:r>
      <w:r>
        <w:rPr>
          <w:sz w:val="16"/>
        </w:rPr>
        <w:t>.  Acta will:</w:t>
      </w:r>
    </w:p>
    <w:p>
      <w:pPr>
        <w:pStyle w:val="Normal"/>
        <w:rPr>
          <w:sz w:val="16"/>
        </w:rPr>
      </w:pPr>
      <w:r>
        <w:rPr>
          <w:sz w:val="16"/>
        </w:rPr>
      </w:r>
    </w:p>
    <w:p>
      <w:pPr>
        <w:pStyle w:val="Normal"/>
        <w:numPr>
          <w:ilvl w:val="2"/>
          <w:numId w:val="4"/>
        </w:numPr>
        <w:rPr>
          <w:sz w:val="16"/>
        </w:rPr>
      </w:pPr>
      <w:r>
        <w:rPr>
          <w:sz w:val="16"/>
        </w:rPr>
        <w:t xml:space="preserve">Prepare materials to support meetings with Settlement Matrix management, including preliminary business plans and technology architecture descriptions.  </w:t>
      </w:r>
    </w:p>
    <w:p>
      <w:pPr>
        <w:pStyle w:val="Normal"/>
        <w:rPr>
          <w:sz w:val="16"/>
        </w:rPr>
      </w:pPr>
      <w:r>
        <w:rPr>
          <w:sz w:val="16"/>
        </w:rPr>
      </w:r>
    </w:p>
    <w:p>
      <w:pPr>
        <w:pStyle w:val="Normal"/>
        <w:ind w:hanging="720" w:start="1440" w:end="0"/>
        <w:rPr>
          <w:i/>
          <w:i/>
          <w:color w:val="0000FF"/>
          <w:sz w:val="16"/>
        </w:rPr>
      </w:pPr>
      <w:r>
        <w:rPr>
          <w:sz w:val="16"/>
        </w:rPr>
        <w:t xml:space="preserve">1.2.2 </w:t>
        <w:tab/>
        <w:t>Work with Enron to validate and test integration with exchanges using Acta technology.  Specifically Acta engineers with supply technology and documentation, as appropriate, and support testing of integration.</w:t>
      </w:r>
    </w:p>
    <w:p>
      <w:pPr>
        <w:pStyle w:val="Normal"/>
        <w:ind w:start="720" w:end="0"/>
        <w:rPr>
          <w:i/>
          <w:i/>
          <w:color w:val="0000FF"/>
          <w:sz w:val="16"/>
        </w:rPr>
      </w:pPr>
      <w:r>
        <w:rPr>
          <w:i/>
          <w:color w:val="0000FF"/>
          <w:sz w:val="16"/>
        </w:rPr>
      </w:r>
    </w:p>
    <w:p>
      <w:pPr>
        <w:pStyle w:val="Normal"/>
        <w:numPr>
          <w:ilvl w:val="2"/>
          <w:numId w:val="4"/>
        </w:numPr>
        <w:rPr>
          <w:sz w:val="16"/>
        </w:rPr>
      </w:pPr>
      <w:r>
        <w:rPr>
          <w:sz w:val="16"/>
        </w:rPr>
        <w:t xml:space="preserve">Work with Enron to prepare joint marketing plans for introducing potential customers of Acta and Settlement Matrix services.  Plans may include efforts to identify, attract, and sign end customers of joint services or the creation of bundled offerings.  </w:t>
      </w:r>
    </w:p>
    <w:p>
      <w:pPr>
        <w:pStyle w:val="Normal"/>
        <w:ind w:hanging="720" w:start="1440" w:end="0"/>
        <w:rPr>
          <w:rFonts w:ascii="Arial" w:hAnsi="Arial" w:cs="Arial"/>
          <w:sz w:val="16"/>
        </w:rPr>
      </w:pPr>
      <w:r>
        <w:rPr>
          <w:rFonts w:cs="Arial" w:ascii="Arial" w:hAnsi="Arial"/>
          <w:sz w:val="16"/>
        </w:rPr>
      </w:r>
    </w:p>
    <w:p>
      <w:pPr>
        <w:pStyle w:val="Heading2"/>
        <w:numPr>
          <w:ilvl w:val="0"/>
          <w:numId w:val="0"/>
        </w:numPr>
        <w:ind w:hanging="720" w:start="720" w:end="0"/>
        <w:rPr/>
      </w:pPr>
      <w:r>
        <w:rPr>
          <w:b w:val="false"/>
          <w:sz w:val="16"/>
          <w:u w:val="none"/>
        </w:rPr>
        <w:t>2.</w:t>
        <w:tab/>
      </w:r>
      <w:r>
        <w:rPr>
          <w:sz w:val="16"/>
        </w:rPr>
        <w:t>General Terms and Conditions of this MOU</w:t>
      </w:r>
    </w:p>
    <w:p>
      <w:pPr>
        <w:pStyle w:val="Normal"/>
        <w:jc w:val="both"/>
        <w:rPr>
          <w:i/>
          <w:i/>
          <w:sz w:val="16"/>
        </w:rPr>
      </w:pPr>
      <w:r>
        <w:rPr>
          <w:i/>
          <w:sz w:val="16"/>
        </w:rPr>
      </w:r>
    </w:p>
    <w:p>
      <w:pPr>
        <w:pStyle w:val="Normal"/>
        <w:ind w:hanging="720" w:start="720" w:end="0"/>
        <w:jc w:val="both"/>
        <w:rPr/>
      </w:pPr>
      <w:r>
        <w:rPr>
          <w:sz w:val="16"/>
        </w:rPr>
        <w:t>2.2</w:t>
        <w:tab/>
      </w:r>
      <w:r>
        <w:rPr>
          <w:b/>
          <w:sz w:val="16"/>
          <w:u w:val="single"/>
        </w:rPr>
        <w:t>Confidentiality</w:t>
      </w:r>
      <w:r>
        <w:rPr>
          <w:b/>
          <w:sz w:val="16"/>
        </w:rPr>
        <w:t>.</w:t>
      </w:r>
      <w:r>
        <w:rPr>
          <w:sz w:val="16"/>
        </w:rPr>
        <w:t xml:space="preserve">  Each Party agrees that, for a period of one (1) year from the date hereof, that it will keep confidential the terms and existence of this MOU, the draft terms of the Definitive Agreements, and any information provided to one Party by the other Party hereunder that is proprietary in nature and, if in written form, is clearly labeled as confidential, or, if provided orally, is identified as confidential at the time of disclosure, unless such information is (i) in the public domain, (ii) obtained by the receiving Party from another source, without such receiving Party’s breach of this confidentiality obligation, (iii) independently developed by the receiving Party without use of the confidential information, (iv) required to be divulged by a court or agency with competent jurisdiction (provided, that the Party required to divulge such information shall give prompt written notice of such requirement to the disclosing Party, with an opportunity to participate at its own expense to attempt to prevent such disclosure), or (v) approved for disclosure by the disclosing Party.</w:t>
      </w:r>
    </w:p>
    <w:p>
      <w:pPr>
        <w:pStyle w:val="Normal"/>
        <w:ind w:hanging="720" w:start="720" w:end="0"/>
        <w:jc w:val="both"/>
        <w:rPr>
          <w:sz w:val="16"/>
        </w:rPr>
      </w:pPr>
      <w:r>
        <w:rPr>
          <w:sz w:val="16"/>
        </w:rPr>
      </w:r>
    </w:p>
    <w:p>
      <w:pPr>
        <w:pStyle w:val="Normal"/>
        <w:ind w:hanging="720" w:start="720" w:end="0"/>
        <w:jc w:val="both"/>
        <w:rPr>
          <w:b/>
          <w:i/>
          <w:i/>
          <w:color w:val="0000FF"/>
          <w:sz w:val="16"/>
        </w:rPr>
      </w:pPr>
      <w:r>
        <w:rPr>
          <w:sz w:val="16"/>
        </w:rPr>
        <w:t>2.3</w:t>
      </w:r>
      <w:r>
        <w:rPr>
          <w:b/>
          <w:sz w:val="16"/>
        </w:rPr>
        <w:t xml:space="preserve"> </w:t>
        <w:tab/>
        <w:t>Term and Effect of Termination</w:t>
      </w:r>
      <w:r>
        <w:rPr>
          <w:sz w:val="16"/>
        </w:rPr>
        <w:t xml:space="preserve">.  This MOU shall be effective as of the Effective Date and shall remain in effect until the first occurrence of one of the following:  (a) ninety (90) days after the Effective Date; or (b) the execution by the Parties of the Definitive Agreement; or (c) written notice by one Party to the other at the address set forth herein of termination of this MOU.  </w:t>
      </w:r>
    </w:p>
    <w:p>
      <w:pPr>
        <w:pStyle w:val="Normal"/>
        <w:jc w:val="both"/>
        <w:rPr>
          <w:b/>
          <w:i/>
          <w:i/>
          <w:color w:val="0000FF"/>
          <w:sz w:val="16"/>
        </w:rPr>
      </w:pPr>
      <w:r>
        <w:rPr>
          <w:b/>
          <w:i/>
          <w:color w:val="0000FF"/>
          <w:sz w:val="16"/>
        </w:rPr>
      </w:r>
    </w:p>
    <w:p>
      <w:pPr>
        <w:pStyle w:val="Normal"/>
        <w:ind w:hanging="720" w:start="720" w:end="0"/>
        <w:jc w:val="both"/>
        <w:rPr/>
      </w:pPr>
      <w:r>
        <w:rPr>
          <w:sz w:val="16"/>
        </w:rPr>
        <w:t>2.4</w:t>
        <w:tab/>
      </w:r>
      <w:r>
        <w:rPr>
          <w:b/>
          <w:sz w:val="16"/>
          <w:u w:val="single"/>
        </w:rPr>
        <w:t>Assignment.</w:t>
      </w:r>
      <w:r>
        <w:rPr>
          <w:sz w:val="16"/>
        </w:rPr>
        <w:t xml:space="preserve"> Neither this MOU nor any right under this MOU shall be assigned by either Party.  Any attempted assignment shall be void and of no effect.</w:t>
      </w:r>
    </w:p>
    <w:p>
      <w:pPr>
        <w:pStyle w:val="Normal"/>
        <w:jc w:val="both"/>
        <w:rPr>
          <w:sz w:val="16"/>
        </w:rPr>
      </w:pPr>
      <w:r>
        <w:rPr>
          <w:sz w:val="16"/>
        </w:rPr>
      </w:r>
    </w:p>
    <w:p>
      <w:pPr>
        <w:pStyle w:val="Normal"/>
        <w:ind w:hanging="720" w:start="720" w:end="0"/>
        <w:jc w:val="both"/>
        <w:rPr/>
      </w:pPr>
      <w:r>
        <w:rPr>
          <w:sz w:val="16"/>
        </w:rPr>
        <w:t>2.5</w:t>
        <w:tab/>
      </w:r>
      <w:r>
        <w:rPr>
          <w:b/>
          <w:sz w:val="16"/>
          <w:u w:val="single"/>
        </w:rPr>
        <w:t>Choice of Law</w:t>
      </w:r>
      <w:r>
        <w:rPr>
          <w:b/>
          <w:sz w:val="16"/>
        </w:rPr>
        <w:t>.</w:t>
      </w:r>
      <w:r>
        <w:rPr>
          <w:sz w:val="16"/>
        </w:rPr>
        <w:t xml:space="preserve">  The Parties agree that this MOU and any disputes arising or related to this MOU shall be governed by the laws of the State of Texas</w:t>
      </w:r>
      <w:r>
        <w:rPr>
          <w:b/>
          <w:sz w:val="16"/>
        </w:rPr>
        <w:t xml:space="preserve"> </w:t>
      </w:r>
      <w:r>
        <w:rPr>
          <w:sz w:val="16"/>
        </w:rPr>
        <w:t>without regard to conflicts of laws, rules or principles.</w:t>
      </w:r>
    </w:p>
    <w:p>
      <w:pPr>
        <w:pStyle w:val="Normal"/>
        <w:tabs>
          <w:tab w:val="left" w:pos="720" w:leader="none"/>
        </w:tabs>
        <w:jc w:val="both"/>
        <w:rPr>
          <w:sz w:val="16"/>
        </w:rPr>
      </w:pPr>
      <w:r>
        <w:rPr>
          <w:sz w:val="16"/>
        </w:rPr>
      </w:r>
    </w:p>
    <w:p>
      <w:pPr>
        <w:pStyle w:val="Normal"/>
        <w:ind w:hanging="720" w:start="720" w:end="0"/>
        <w:jc w:val="both"/>
        <w:rPr/>
      </w:pPr>
      <w:r>
        <w:rPr>
          <w:sz w:val="16"/>
        </w:rPr>
        <w:t>2.6</w:t>
        <w:tab/>
      </w:r>
      <w:r>
        <w:rPr>
          <w:b/>
          <w:sz w:val="16"/>
          <w:u w:val="single"/>
        </w:rPr>
        <w:t>Relationship of the Parties. No Agency</w:t>
      </w:r>
      <w:r>
        <w:rPr>
          <w:b/>
          <w:sz w:val="16"/>
        </w:rPr>
        <w:t>.</w:t>
      </w:r>
      <w:r>
        <w:rPr>
          <w:sz w:val="16"/>
        </w:rPr>
        <w:t xml:space="preserve">  The Parties are independent contractors. This MOU shall not be interpreted to create any joint venture, partnership, or any other joint arrangement between the Parties. Neither Party has the right or authority to, and shall not, assume or create any obligation of any nature whatsoever on behalf of the other Party or bind the other Party in any respect whatsoever. </w:t>
      </w:r>
    </w:p>
    <w:p>
      <w:pPr>
        <w:pStyle w:val="Normal"/>
        <w:jc w:val="both"/>
        <w:rPr>
          <w:sz w:val="16"/>
        </w:rPr>
      </w:pPr>
      <w:r>
        <w:rPr>
          <w:sz w:val="16"/>
        </w:rPr>
      </w:r>
    </w:p>
    <w:p>
      <w:pPr>
        <w:pStyle w:val="Normal"/>
        <w:ind w:hanging="720" w:start="720" w:end="0"/>
        <w:rPr/>
      </w:pPr>
      <w:r>
        <w:rPr>
          <w:sz w:val="16"/>
        </w:rPr>
        <w:t xml:space="preserve">2.7 </w:t>
        <w:tab/>
      </w:r>
      <w:r>
        <w:rPr>
          <w:b/>
          <w:sz w:val="16"/>
          <w:u w:val="single"/>
        </w:rPr>
        <w:t>Limitation of Liability</w:t>
      </w:r>
      <w:r>
        <w:rPr>
          <w:b/>
          <w:sz w:val="16"/>
        </w:rPr>
        <w:t xml:space="preserve">.  </w:t>
      </w:r>
      <w:r>
        <w:rPr>
          <w:sz w:val="16"/>
        </w:rPr>
        <w:t>IN NO EVENT SHALL EITHER PARTY BE LIABLE FOR ANY DAMAGES  ARISING FROM OR RELATED TO THIS MOU WHETHER DIRECT, INDIRECT, INCIDENTAL, SPECIAL OR CONSEQUENTIAL DAMAGES, LOST PROFITS, OR LOST DATA, OR ANY OTHER DAMAGES EVEN IF THE PARTY HAS BEEN INFORMED OF THE POSSIBILITY THEREOF.</w:t>
      </w:r>
    </w:p>
    <w:p>
      <w:pPr>
        <w:pStyle w:val="BodyTextIndent3"/>
        <w:ind w:hanging="720" w:start="720" w:end="0"/>
        <w:rPr>
          <w:b w:val="false"/>
          <w:sz w:val="16"/>
        </w:rPr>
      </w:pPr>
      <w:r>
        <w:rPr>
          <w:b w:val="false"/>
          <w:sz w:val="16"/>
        </w:rPr>
      </w:r>
    </w:p>
    <w:p>
      <w:pPr>
        <w:pStyle w:val="BodyTextIndent3"/>
        <w:ind w:hanging="720" w:start="720" w:end="0"/>
        <w:rPr/>
      </w:pPr>
      <w:r>
        <w:rPr>
          <w:b w:val="false"/>
          <w:sz w:val="16"/>
        </w:rPr>
        <w:t>2.8</w:t>
      </w:r>
      <w:r>
        <w:rPr>
          <w:sz w:val="16"/>
        </w:rPr>
        <w:tab/>
      </w:r>
      <w:r>
        <w:rPr>
          <w:b w:val="false"/>
          <w:sz w:val="16"/>
          <w:u w:val="single"/>
        </w:rPr>
        <w:t>Non Binding Effect</w:t>
      </w:r>
      <w:r>
        <w:rPr>
          <w:sz w:val="16"/>
        </w:rPr>
        <w:t xml:space="preserve">.  </w:t>
      </w:r>
      <w:r>
        <w:rPr>
          <w:b w:val="false"/>
          <w:sz w:val="16"/>
        </w:rPr>
        <w:t>The Parties agree that except for the provisions of this Section 2, which constitute a binding contractual agreement between them, this MOU reflects only the current understanding of the Parties, and, except for such Sections, does not constitute and shall not be construed to be a  legally binding agreement on the Parties and shall have no legal force or effect  The Parties acknowledge that the Definitive Agreements must be acceptable to the Parties, each in their sole discretion, and the Parties shall have no legal obligation with respect to the matters set out in this MOU unless and until signing by the Parties of such Definitive Agreements.</w:t>
      </w:r>
    </w:p>
    <w:p>
      <w:pPr>
        <w:pStyle w:val="Normal"/>
        <w:ind w:hanging="720" w:start="720" w:end="0"/>
        <w:rPr>
          <w:sz w:val="16"/>
        </w:rPr>
      </w:pPr>
      <w:r>
        <w:rPr>
          <w:sz w:val="16"/>
        </w:rPr>
        <w:tab/>
      </w:r>
    </w:p>
    <w:p>
      <w:pPr>
        <w:pStyle w:val="Normal"/>
        <w:ind w:hanging="720" w:start="720" w:end="0"/>
        <w:rPr/>
      </w:pPr>
      <w:r>
        <w:rPr>
          <w:sz w:val="16"/>
        </w:rPr>
        <w:t>2.9</w:t>
        <w:tab/>
      </w:r>
      <w:r>
        <w:rPr>
          <w:b/>
          <w:sz w:val="16"/>
          <w:u w:val="single"/>
        </w:rPr>
        <w:t>Survival</w:t>
      </w:r>
      <w:r>
        <w:rPr>
          <w:b/>
          <w:sz w:val="16"/>
        </w:rPr>
        <w:t>.</w:t>
      </w:r>
      <w:r>
        <w:rPr>
          <w:sz w:val="16"/>
        </w:rPr>
        <w:t xml:space="preserve">  The Parties agree that Section 2, including all its subsections, shall survive termination or expiration of this MOU.</w:t>
      </w:r>
    </w:p>
    <w:p>
      <w:pPr>
        <w:pStyle w:val="Normal"/>
        <w:ind w:hanging="720" w:start="720" w:end="0"/>
        <w:rPr>
          <w:sz w:val="16"/>
        </w:rPr>
      </w:pPr>
      <w:r>
        <w:rPr>
          <w:sz w:val="16"/>
        </w:rPr>
      </w:r>
    </w:p>
    <w:p>
      <w:pPr>
        <w:pStyle w:val="Normal"/>
        <w:jc w:val="both"/>
        <w:rPr/>
      </w:pPr>
      <w:r>
        <w:rPr>
          <w:sz w:val="16"/>
        </w:rPr>
        <w:t>2.10</w:t>
        <w:tab/>
      </w:r>
      <w:r>
        <w:rPr>
          <w:b/>
          <w:sz w:val="16"/>
          <w:u w:val="single"/>
        </w:rPr>
        <w:t>Amendments.</w:t>
      </w:r>
      <w:r>
        <w:rPr>
          <w:sz w:val="16"/>
        </w:rPr>
        <w:t xml:space="preserve">  No amendment to this MOU shall be effective unless expressed in writing and signed by both Parties</w:t>
      </w:r>
      <w:r>
        <w:rPr/>
        <w:t>.</w:t>
      </w:r>
    </w:p>
    <w:p>
      <w:pPr>
        <w:pStyle w:val="Normal"/>
        <w:jc w:val="both"/>
        <w:rPr/>
      </w:pPr>
      <w:r>
        <w:rPr/>
      </w:r>
    </w:p>
    <w:p>
      <w:pPr>
        <w:pStyle w:val="Normal"/>
        <w:jc w:val="both"/>
        <w:rPr/>
      </w:pPr>
      <w:r>
        <w:rPr>
          <w:sz w:val="16"/>
        </w:rPr>
        <w:t>2.11</w:t>
        <w:tab/>
      </w:r>
      <w:r>
        <w:rPr>
          <w:b/>
          <w:sz w:val="16"/>
          <w:u w:val="single"/>
        </w:rPr>
        <w:t>Counterparts</w:t>
      </w:r>
      <w:r>
        <w:rPr>
          <w:sz w:val="16"/>
        </w:rPr>
        <w:t>.  This MOU may be executed in counterparts.</w:t>
      </w:r>
    </w:p>
    <w:p>
      <w:pPr>
        <w:pStyle w:val="Normal"/>
        <w:jc w:val="both"/>
        <w:rPr>
          <w:sz w:val="16"/>
        </w:rPr>
      </w:pPr>
      <w:r>
        <w:rPr>
          <w:sz w:val="16"/>
        </w:rPr>
      </w:r>
    </w:p>
    <w:p>
      <w:pPr>
        <w:pStyle w:val="Normal"/>
        <w:ind w:hanging="720" w:start="720" w:end="0"/>
        <w:rPr>
          <w:sz w:val="16"/>
        </w:rPr>
      </w:pPr>
      <w:r>
        <w:rPr>
          <w:b/>
          <w:sz w:val="16"/>
        </w:rPr>
        <w:br/>
      </w:r>
    </w:p>
    <w:p>
      <w:pPr>
        <w:pStyle w:val="Normal"/>
        <w:jc w:val="both"/>
        <w:rPr>
          <w:b/>
          <w:sz w:val="16"/>
          <w:u w:val="single"/>
        </w:rPr>
      </w:pPr>
      <w:r>
        <w:rPr>
          <w:b/>
          <w:sz w:val="16"/>
          <w:u w:val="single"/>
        </w:rPr>
      </w:r>
    </w:p>
    <w:p>
      <w:pPr>
        <w:pStyle w:val="Normal"/>
        <w:jc w:val="both"/>
        <w:rPr>
          <w:b/>
          <w:sz w:val="16"/>
        </w:rPr>
      </w:pPr>
      <w:r>
        <w:rPr>
          <w:b/>
          <w:sz w:val="16"/>
        </w:rPr>
        <w:t>Agreed:</w:t>
        <w:tab/>
        <w:tab/>
        <w:tab/>
        <w:tab/>
        <w:tab/>
        <w:tab/>
        <w:t>Agreed:</w:t>
      </w:r>
    </w:p>
    <w:p>
      <w:pPr>
        <w:pStyle w:val="Normal"/>
        <w:jc w:val="both"/>
        <w:rPr>
          <w:b/>
          <w:sz w:val="16"/>
        </w:rPr>
      </w:pPr>
      <w:r>
        <w:rPr>
          <w:b/>
          <w:sz w:val="16"/>
        </w:rPr>
      </w:r>
    </w:p>
    <w:p>
      <w:pPr>
        <w:pStyle w:val="Normal"/>
        <w:jc w:val="both"/>
        <w:rPr>
          <w:b/>
          <w:sz w:val="16"/>
        </w:rPr>
      </w:pPr>
      <w:r>
        <w:rPr>
          <w:b/>
          <w:sz w:val="16"/>
        </w:rPr>
        <w:t xml:space="preserve">Enron North America Corp. </w:t>
        <w:tab/>
        <w:tab/>
        <w:tab/>
        <w:tab/>
        <w:t>Acta Technology, Inc.</w:t>
      </w:r>
    </w:p>
    <w:p>
      <w:pPr>
        <w:pStyle w:val="Normal"/>
        <w:jc w:val="both"/>
        <w:rPr>
          <w:b/>
          <w:sz w:val="16"/>
        </w:rPr>
      </w:pPr>
      <w:r>
        <w:rPr>
          <w:b/>
          <w:sz w:val="16"/>
        </w:rPr>
      </w:r>
    </w:p>
    <w:p>
      <w:pPr>
        <w:pStyle w:val="Normal"/>
        <w:jc w:val="both"/>
        <w:rPr>
          <w:b/>
          <w:sz w:val="16"/>
        </w:rPr>
      </w:pPr>
      <w:r>
        <w:rPr>
          <w:b/>
          <w:sz w:val="16"/>
        </w:rPr>
      </w:r>
    </w:p>
    <w:p>
      <w:pPr>
        <w:pStyle w:val="Normal"/>
        <w:jc w:val="both"/>
        <w:rPr/>
      </w:pPr>
      <w:r>
        <w:rPr>
          <w:b/>
          <w:sz w:val="16"/>
        </w:rPr>
        <w:t>By:</w:t>
      </w:r>
      <w:r>
        <w:rPr>
          <w:sz w:val="16"/>
        </w:rPr>
        <w:t>________________________</w:t>
        <w:tab/>
        <w:tab/>
        <w:tab/>
      </w:r>
      <w:r>
        <w:rPr>
          <w:b/>
          <w:sz w:val="16"/>
        </w:rPr>
        <w:t>By:</w:t>
      </w:r>
      <w:r>
        <w:rPr>
          <w:sz w:val="16"/>
        </w:rPr>
        <w:t>________________________</w:t>
      </w:r>
    </w:p>
    <w:p>
      <w:pPr>
        <w:pStyle w:val="Normal"/>
        <w:jc w:val="both"/>
        <w:rPr/>
      </w:pPr>
      <w:r>
        <w:rPr>
          <w:b/>
          <w:sz w:val="16"/>
        </w:rPr>
        <w:t>Name:</w:t>
      </w:r>
      <w:r>
        <w:rPr>
          <w:sz w:val="16"/>
        </w:rPr>
        <w:t>_____________________</w:t>
        <w:tab/>
        <w:tab/>
        <w:tab/>
        <w:tab/>
      </w:r>
      <w:r>
        <w:rPr>
          <w:b/>
          <w:sz w:val="16"/>
        </w:rPr>
        <w:t>Name:</w:t>
      </w:r>
      <w:r>
        <w:rPr>
          <w:sz w:val="16"/>
        </w:rPr>
        <w:t>_____________________</w:t>
      </w:r>
    </w:p>
    <w:p>
      <w:pPr>
        <w:pStyle w:val="Normal"/>
        <w:jc w:val="both"/>
        <w:rPr/>
      </w:pPr>
      <w:r>
        <w:rPr>
          <w:b/>
          <w:sz w:val="16"/>
        </w:rPr>
        <w:t>Title:</w:t>
      </w:r>
      <w:r>
        <w:rPr>
          <w:sz w:val="16"/>
        </w:rPr>
        <w:t>______________________</w:t>
        <w:tab/>
        <w:tab/>
        <w:tab/>
        <w:tab/>
      </w:r>
      <w:r>
        <w:rPr>
          <w:b/>
          <w:sz w:val="16"/>
        </w:rPr>
        <w:t>Title:</w:t>
      </w:r>
      <w:r>
        <w:rPr>
          <w:sz w:val="16"/>
        </w:rPr>
        <w:t>______________________</w:t>
        <w:tab/>
      </w:r>
    </w:p>
    <w:p>
      <w:pPr>
        <w:pStyle w:val="Normal"/>
        <w:jc w:val="both"/>
        <w:rPr/>
      </w:pPr>
      <w:r>
        <w:rPr>
          <w:b/>
          <w:sz w:val="16"/>
        </w:rPr>
        <w:t>Date:</w:t>
      </w:r>
      <w:r>
        <w:rPr>
          <w:sz w:val="16"/>
        </w:rPr>
        <w:t>______________________</w:t>
        <w:tab/>
        <w:tab/>
        <w:tab/>
        <w:tab/>
      </w:r>
      <w:r>
        <w:rPr>
          <w:b/>
          <w:sz w:val="16"/>
        </w:rPr>
        <w:t>Date:</w:t>
      </w:r>
      <w:r>
        <w:rPr>
          <w:sz w:val="16"/>
        </w:rPr>
        <w:t>______________________</w:t>
      </w:r>
    </w:p>
    <w:p>
      <w:pPr>
        <w:pStyle w:val="Normal"/>
        <w:jc w:val="both"/>
        <w:rPr>
          <w:sz w:val="16"/>
        </w:rPr>
      </w:pPr>
      <w:r>
        <w:rPr>
          <w:sz w:val="16"/>
        </w:rPr>
      </w:r>
    </w:p>
    <w:p>
      <w:pPr>
        <w:pStyle w:val="Normal"/>
        <w:jc w:val="both"/>
        <w:rPr>
          <w:b/>
          <w:sz w:val="16"/>
        </w:rPr>
      </w:pPr>
      <w:r>
        <w:rPr>
          <w:b/>
          <w:sz w:val="16"/>
        </w:rPr>
        <w:t>Enron Net Works LLC</w:t>
        <w:tab/>
        <w:tab/>
        <w:tab/>
        <w:tab/>
        <w:t>EnronOnline, LLC</w:t>
      </w:r>
    </w:p>
    <w:p>
      <w:pPr>
        <w:pStyle w:val="Normal"/>
        <w:jc w:val="both"/>
        <w:rPr>
          <w:b/>
          <w:sz w:val="16"/>
        </w:rPr>
      </w:pPr>
      <w:r>
        <w:rPr>
          <w:b/>
          <w:sz w:val="16"/>
        </w:rPr>
      </w:r>
    </w:p>
    <w:p>
      <w:pPr>
        <w:pStyle w:val="Normal"/>
        <w:jc w:val="both"/>
        <w:rPr>
          <w:b/>
          <w:sz w:val="16"/>
        </w:rPr>
      </w:pPr>
      <w:r>
        <w:rPr>
          <w:b/>
          <w:sz w:val="16"/>
        </w:rPr>
      </w:r>
    </w:p>
    <w:p>
      <w:pPr>
        <w:pStyle w:val="Normal"/>
        <w:jc w:val="both"/>
        <w:rPr/>
      </w:pPr>
      <w:r>
        <w:rPr>
          <w:b/>
          <w:sz w:val="16"/>
        </w:rPr>
        <w:t>By:</w:t>
      </w:r>
      <w:r>
        <w:rPr>
          <w:sz w:val="16"/>
        </w:rPr>
        <w:t>________________________</w:t>
        <w:tab/>
        <w:tab/>
        <w:tab/>
      </w:r>
      <w:r>
        <w:rPr>
          <w:b/>
          <w:sz w:val="16"/>
        </w:rPr>
        <w:t>By:</w:t>
      </w:r>
      <w:r>
        <w:rPr>
          <w:sz w:val="16"/>
        </w:rPr>
        <w:t>________________________</w:t>
      </w:r>
    </w:p>
    <w:p>
      <w:pPr>
        <w:pStyle w:val="Normal"/>
        <w:jc w:val="both"/>
        <w:rPr/>
      </w:pPr>
      <w:r>
        <w:rPr>
          <w:b/>
          <w:sz w:val="16"/>
        </w:rPr>
        <w:t>Name:</w:t>
      </w:r>
      <w:r>
        <w:rPr>
          <w:sz w:val="16"/>
        </w:rPr>
        <w:t>_____________________</w:t>
        <w:tab/>
        <w:tab/>
        <w:tab/>
        <w:tab/>
      </w:r>
      <w:r>
        <w:rPr>
          <w:b/>
          <w:sz w:val="16"/>
        </w:rPr>
        <w:t>Name:</w:t>
      </w:r>
      <w:r>
        <w:rPr>
          <w:sz w:val="16"/>
        </w:rPr>
        <w:t>_____________________</w:t>
      </w:r>
    </w:p>
    <w:p>
      <w:pPr>
        <w:pStyle w:val="Normal"/>
        <w:jc w:val="both"/>
        <w:rPr/>
      </w:pPr>
      <w:r>
        <w:rPr>
          <w:b/>
          <w:sz w:val="16"/>
        </w:rPr>
        <w:t>Title:</w:t>
      </w:r>
      <w:r>
        <w:rPr>
          <w:sz w:val="16"/>
        </w:rPr>
        <w:t>______________________</w:t>
        <w:tab/>
        <w:tab/>
        <w:tab/>
        <w:tab/>
      </w:r>
      <w:r>
        <w:rPr>
          <w:b/>
          <w:sz w:val="16"/>
        </w:rPr>
        <w:t>Title:</w:t>
      </w:r>
      <w:r>
        <w:rPr>
          <w:sz w:val="16"/>
        </w:rPr>
        <w:t>______________________</w:t>
        <w:tab/>
      </w:r>
    </w:p>
    <w:p>
      <w:pPr>
        <w:pStyle w:val="Normal"/>
        <w:jc w:val="both"/>
        <w:rPr/>
      </w:pPr>
      <w:r>
        <w:rPr>
          <w:b/>
          <w:sz w:val="16"/>
        </w:rPr>
        <w:t>Date:</w:t>
      </w:r>
      <w:r>
        <w:rPr>
          <w:sz w:val="16"/>
        </w:rPr>
        <w:t>______________________</w:t>
        <w:tab/>
        <w:tab/>
        <w:tab/>
        <w:tab/>
      </w:r>
      <w:r>
        <w:rPr>
          <w:b/>
          <w:sz w:val="16"/>
        </w:rPr>
        <w:t>Date:</w:t>
      </w:r>
      <w:r>
        <w:rPr>
          <w:sz w:val="16"/>
        </w:rPr>
        <w:t>______________________</w:t>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t xml:space="preserve"> </w:t>
      </w:r>
    </w:p>
    <w:p>
      <w:pPr>
        <w:pStyle w:val="Normal"/>
        <w:jc w:val="both"/>
        <w:rPr>
          <w:sz w:val="16"/>
        </w:rPr>
      </w:pPr>
      <w:r>
        <w:rPr>
          <w:sz w:val="16"/>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Times">
    <w:altName w:val="Times New Roman"/>
    <w:charset w:val="00" w:characterSet="windows-1252"/>
    <w:family w:val="roman"/>
    <w:pitch w:val="variable"/>
  </w:font>
  <w:font w:name="Geneva">
    <w:charset w:val="00" w:characterSet="windows-1252"/>
    <w:family w:val="swiss"/>
    <w:pitch w:val="variable"/>
  </w:font>
  <w:font w:name="Chicago">
    <w:altName w:val="Arial"/>
    <w:charset w:val="00" w:characterSet="windows-125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DRAFT.  FOR REVIEW PURPOSES ONLY.</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lvl w:ilvl="1">
      <w:start w:val="1"/>
      <w:numFmt w:val="decimal"/>
      <w:lvlText w:val="%1.%2"/>
      <w:lvlJc w:val="start"/>
      <w:pPr>
        <w:tabs>
          <w:tab w:val="num" w:pos="1080"/>
        </w:tabs>
        <w:ind w:start="1080" w:hanging="72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520"/>
        </w:tabs>
        <w:ind w:start="2520" w:hanging="72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600"/>
        </w:tabs>
        <w:ind w:start="3600" w:hanging="1080"/>
      </w:pPr>
      <w:rPr/>
    </w:lvl>
    <w:lvl w:ilvl="8">
      <w:start w:val="1"/>
      <w:numFmt w:val="decimal"/>
      <w:lvlText w:val="%1.%2.%3.%4.%5.%6.%7.%8.%9"/>
      <w:lvlJc w:val="start"/>
      <w:pPr>
        <w:tabs>
          <w:tab w:val="num" w:pos="3960"/>
        </w:tabs>
        <w:ind w:start="3960" w:hanging="1080"/>
      </w:pPr>
      <w:rPr/>
    </w:lvl>
  </w:abstractNum>
  <w:abstractNum w:abstractNumId="3">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decimal"/>
      <w:lvlText w:val="%1"/>
      <w:lvlJc w:val="start"/>
      <w:pPr>
        <w:tabs>
          <w:tab w:val="num" w:pos="720"/>
        </w:tabs>
        <w:ind w:start="720" w:hanging="720"/>
      </w:pPr>
      <w:rPr/>
    </w:lvl>
    <w:lvl w:ilvl="1">
      <w:start w:val="2"/>
      <w:numFmt w:val="decimal"/>
      <w:lvlText w:val="%1.%2"/>
      <w:lvlJc w:val="start"/>
      <w:pPr>
        <w:tabs>
          <w:tab w:val="num" w:pos="1080"/>
        </w:tabs>
        <w:ind w:start="1080" w:hanging="72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520"/>
        </w:tabs>
        <w:ind w:start="2520" w:hanging="72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600"/>
        </w:tabs>
        <w:ind w:start="3600" w:hanging="1080"/>
      </w:pPr>
      <w:rPr/>
    </w:lvl>
    <w:lvl w:ilvl="8">
      <w:start w:val="1"/>
      <w:numFmt w:val="decimal"/>
      <w:lvlText w:val="%1.%2.%3.%4.%5.%6.%7.%8.%9"/>
      <w:lvlJc w:val="start"/>
      <w:pPr>
        <w:tabs>
          <w:tab w:val="num" w:pos="3960"/>
        </w:tabs>
        <w:ind w:start="3960" w:hanging="10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0"/>
        <w:numId w:val="3"/>
      </w:numPr>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b/>
      <w:sz w:val="24"/>
      <w:u w:val="single"/>
    </w:rPr>
  </w:style>
  <w:style w:type="paragraph" w:styleId="Heading4">
    <w:name w:val="heading 4"/>
    <w:basedOn w:val="Normal"/>
    <w:next w:val="Normal"/>
    <w:qFormat/>
    <w:pPr>
      <w:keepNext w:val="true"/>
      <w:numPr>
        <w:ilvl w:val="3"/>
        <w:numId w:val="1"/>
      </w:numPr>
      <w:ind w:firstLine="720" w:start="0" w:end="0"/>
      <w:jc w:val="both"/>
      <w:outlineLvl w:val="3"/>
    </w:pPr>
    <w:rPr>
      <w:b/>
    </w:rPr>
  </w:style>
  <w:style w:type="paragraph" w:styleId="Heading5">
    <w:name w:val="heading 5"/>
    <w:basedOn w:val="Normal"/>
    <w:next w:val="Normal"/>
    <w:qFormat/>
    <w:pPr>
      <w:keepNext w:val="true"/>
      <w:numPr>
        <w:ilvl w:val="4"/>
        <w:numId w:val="1"/>
      </w:numPr>
      <w:ind w:hanging="0" w:start="720" w:end="0"/>
      <w:jc w:val="both"/>
      <w:outlineLvl w:val="4"/>
    </w:pPr>
    <w:rPr>
      <w:b/>
    </w:rPr>
  </w:style>
  <w:style w:type="paragraph" w:styleId="Heading6">
    <w:name w:val="heading 6"/>
    <w:basedOn w:val="Normal"/>
    <w:next w:val="Normal"/>
    <w:qFormat/>
    <w:pPr>
      <w:keepNext w:val="true"/>
      <w:numPr>
        <w:ilvl w:val="5"/>
        <w:numId w:val="1"/>
      </w:numPr>
      <w:jc w:val="center"/>
      <w:outlineLvl w:val="5"/>
    </w:pPr>
    <w:rPr>
      <w:rFonts w:ascii="Palatino" w:hAnsi="Palatino" w:cs="Palatino"/>
      <w:b/>
      <w:sz w:val="24"/>
    </w:rPr>
  </w:style>
  <w:style w:type="character" w:styleId="WW8Num1z0">
    <w:name w:val="WW8Num1z0"/>
    <w:qFormat/>
    <w:rPr>
      <w:b/>
      <w:u w:val="single"/>
    </w:rPr>
  </w:style>
  <w:style w:type="character" w:styleId="WW8Num2z0">
    <w:name w:val="WW8Num2z0"/>
    <w:qFormat/>
    <w:rPr>
      <w:rFonts w:ascii="Palatino" w:hAnsi="Palatino" w:cs="Palatino"/>
      <w:b w:val="false"/>
      <w:i w:val="false"/>
      <w:sz w:val="20"/>
      <w:u w:val="none"/>
    </w:rPr>
  </w:style>
  <w:style w:type="character" w:styleId="WW8Num3z0">
    <w:name w:val="WW8Num3z0"/>
    <w:qFormat/>
    <w:rPr/>
  </w:style>
  <w:style w:type="character" w:styleId="WW8Num4z0">
    <w:name w:val="WW8Num4z0"/>
    <w:qFormat/>
    <w:rPr/>
  </w:style>
  <w:style w:type="character" w:styleId="WW8Num5z0">
    <w:name w:val="WW8Num5z0"/>
    <w:qFormat/>
    <w:rPr>
      <w:rFonts w:ascii="Palatino" w:hAnsi="Palatino" w:cs="Palatino"/>
      <w:b w:val="false"/>
      <w:i w:val="false"/>
      <w:sz w:val="20"/>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Palatino" w:hAnsi="Palatino" w:cs="Palatino"/>
      <w:b w:val="false"/>
      <w:i w:val="false"/>
      <w:sz w:val="20"/>
      <w:u w:val="none"/>
    </w:rPr>
  </w:style>
  <w:style w:type="character" w:styleId="WW8Num15z0">
    <w:name w:val="WW8Num15z0"/>
    <w:qFormat/>
    <w:rPr>
      <w:b/>
      <w:u w:val="single"/>
    </w:rPr>
  </w:style>
  <w:style w:type="character" w:styleId="WW8Num16z0">
    <w:name w:val="WW8Num16z0"/>
    <w:qFormat/>
    <w:rPr>
      <w:rFonts w:ascii="Palatino" w:hAnsi="Palatino" w:cs="Palatino"/>
      <w:b w:val="false"/>
      <w:i w:val="false"/>
      <w:sz w:val="20"/>
      <w:u w:val="none"/>
    </w:rPr>
  </w:style>
  <w:style w:type="character" w:styleId="WW8Num18z0">
    <w:name w:val="WW8Num18z0"/>
    <w:qFormat/>
    <w:rPr>
      <w:rFonts w:ascii="Palatino" w:hAnsi="Palatino" w:cs="Palatino"/>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color w:val="auto"/>
    </w:rPr>
  </w:style>
  <w:style w:type="character" w:styleId="WW8Num22z0">
    <w:name w:val="WW8Num22z0"/>
    <w:qFormat/>
    <w:rPr>
      <w:rFonts w:ascii="Palatino" w:hAnsi="Palatino" w:cs="Palatino"/>
      <w:b w:val="false"/>
      <w:i w:val="false"/>
      <w:sz w:val="20"/>
      <w:u w:val="none"/>
    </w:rPr>
  </w:style>
  <w:style w:type="character" w:styleId="WW8Num23z0">
    <w:name w:val="WW8Num23z0"/>
    <w:qFormat/>
    <w:rPr>
      <w:rFonts w:ascii="Times New Roman" w:hAnsi="Times New Roman" w:cs="Times New Roman"/>
      <w:b/>
      <w:i w:val="false"/>
      <w:sz w:val="24"/>
      <w:u w:val="none"/>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Palatino" w:hAnsi="Palatino" w:cs="Palatino"/>
      <w:b w:val="false"/>
      <w:i w:val="false"/>
      <w:sz w:val="20"/>
      <w:u w:val="none"/>
    </w:rPr>
  </w:style>
  <w:style w:type="character" w:styleId="WW8Num29z0">
    <w:name w:val="WW8Num29z0"/>
    <w:qFormat/>
    <w:rPr/>
  </w:style>
  <w:style w:type="character" w:styleId="WW8Num30z0">
    <w:name w:val="WW8Num30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Palatino" w:hAnsi="Palatino" w:cs="Palatino"/>
      <w:b w:val="false"/>
      <w:i w:val="false"/>
      <w:sz w:val="20"/>
      <w:u w:val="none"/>
    </w:rPr>
  </w:style>
  <w:style w:type="character" w:styleId="WW8Num36z0">
    <w:name w:val="WW8Num36z0"/>
    <w:qFormat/>
    <w:rPr>
      <w:rFonts w:ascii="Palatino" w:hAnsi="Palatino" w:cs="Palatino"/>
      <w:b w:val="false"/>
      <w:i w:val="false"/>
      <w:sz w:val="20"/>
      <w:u w:val="none"/>
    </w:rPr>
  </w:style>
  <w:style w:type="character" w:styleId="WW8Num37z0">
    <w:name w:val="WW8Num37z0"/>
    <w:qFormat/>
    <w:rPr>
      <w:rFonts w:ascii="Palatino" w:hAnsi="Palatino" w:cs="Palatino"/>
      <w:b w:val="false"/>
      <w:i w:val="false"/>
      <w:sz w:val="20"/>
      <w:u w:val="none"/>
    </w:rPr>
  </w:style>
  <w:style w:type="character" w:styleId="WW8Num38z0">
    <w:name w:val="WW8Num38z0"/>
    <w:qFormat/>
    <w:rPr/>
  </w:style>
  <w:style w:type="character" w:styleId="WW8Num39z1">
    <w:name w:val="WW8Num39z1"/>
    <w:qFormat/>
    <w:rPr/>
  </w:style>
  <w:style w:type="character" w:styleId="WW8Num40z0">
    <w:name w:val="WW8Num40z0"/>
    <w:qFormat/>
    <w:rPr>
      <w:rFonts w:ascii="Palatino" w:hAnsi="Palatino" w:cs="Palatino"/>
      <w:b w:val="false"/>
      <w:i w:val="false"/>
      <w:sz w:val="20"/>
      <w:u w:val="none"/>
    </w:rPr>
  </w:style>
  <w:style w:type="character" w:styleId="WW8Num41z0">
    <w:name w:val="WW8Num41z0"/>
    <w:qFormat/>
    <w:rPr>
      <w:rFonts w:ascii="Palatino" w:hAnsi="Palatino" w:cs="Palatino"/>
      <w:b w:val="false"/>
      <w:i w:val="false"/>
      <w:sz w:val="20"/>
      <w:u w:val="none"/>
    </w:rPr>
  </w:style>
  <w:style w:type="character" w:styleId="WW8Num42z0">
    <w:name w:val="WW8Num42z0"/>
    <w:qFormat/>
    <w:rPr/>
  </w:style>
  <w:style w:type="character" w:styleId="WW8Num43z0">
    <w:name w:val="WW8Num43z0"/>
    <w:qFormat/>
    <w:rPr/>
  </w:style>
  <w:style w:type="character" w:styleId="WW8Num44z0">
    <w:name w:val="WW8Num44z0"/>
    <w:qFormat/>
    <w:rPr>
      <w:rFonts w:ascii="Palatino" w:hAnsi="Palatino" w:cs="Palatino"/>
      <w:b w:val="false"/>
      <w:i w:val="false"/>
      <w:sz w:val="20"/>
      <w:u w:val="none"/>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style>
  <w:style w:type="character" w:styleId="WW8Num51z0">
    <w:name w:val="WW8Num51z0"/>
    <w:qFormat/>
    <w:rPr>
      <w:rFonts w:ascii="Palatino" w:hAnsi="Palatino" w:cs="Palatino"/>
      <w:b w:val="false"/>
      <w:i w:val="false"/>
      <w:sz w:val="20"/>
      <w:u w:val="none"/>
    </w:rPr>
  </w:style>
  <w:style w:type="character" w:styleId="WW8Num52z0">
    <w:name w:val="WW8Num52z0"/>
    <w:qFormat/>
    <w:rPr>
      <w:rFonts w:ascii="Palatino" w:hAnsi="Palatino" w:cs="Palatino"/>
      <w:b w:val="false"/>
      <w:i w:val="false"/>
      <w:sz w:val="20"/>
      <w:u w:val="none"/>
    </w:rPr>
  </w:style>
  <w:style w:type="character" w:styleId="WW8Num53z0">
    <w:name w:val="WW8Num53z0"/>
    <w:qFormat/>
    <w:rPr/>
  </w:style>
  <w:style w:type="character" w:styleId="WW8Num54z0">
    <w:name w:val="WW8Num54z0"/>
    <w:qFormat/>
    <w:rPr>
      <w:color w:val="auto"/>
    </w:rPr>
  </w:style>
  <w:style w:type="character" w:styleId="WW8Num55z0">
    <w:name w:val="WW8Num55z0"/>
    <w:qFormat/>
    <w:rPr>
      <w:rFonts w:ascii="Palatino" w:hAnsi="Palatino" w:cs="Palatino"/>
      <w:b w:val="false"/>
      <w:i w:val="false"/>
      <w:sz w:val="20"/>
      <w:u w:val="none"/>
    </w:rPr>
  </w:style>
  <w:style w:type="character" w:styleId="WW8Num57z0">
    <w:name w:val="WW8Num57z0"/>
    <w:qFormat/>
    <w:rPr>
      <w:rFonts w:ascii="Palatino" w:hAnsi="Palatino" w:cs="Palatino"/>
      <w:b w:val="false"/>
      <w:i w:val="false"/>
      <w:sz w:val="20"/>
      <w:u w:val="none"/>
    </w:rPr>
  </w:style>
  <w:style w:type="character" w:styleId="WW8Num58z0">
    <w:name w:val="WW8Num58z0"/>
    <w:qFormat/>
    <w:rPr/>
  </w:style>
  <w:style w:type="character" w:styleId="WW8Num59z0">
    <w:name w:val="WW8Num59z0"/>
    <w:qFormat/>
    <w:rPr>
      <w:u w:val="single"/>
    </w:rPr>
  </w:style>
  <w:style w:type="character" w:styleId="WW8Num61z0">
    <w:name w:val="WW8Num61z0"/>
    <w:qFormat/>
    <w:rPr>
      <w:rFonts w:ascii="Palatino" w:hAnsi="Palatino" w:cs="Palatino"/>
      <w:b w:val="false"/>
      <w:i w:val="false"/>
      <w:sz w:val="20"/>
      <w:u w:val="none"/>
    </w:rPr>
  </w:style>
  <w:style w:type="character" w:styleId="WW8Num62z0">
    <w:name w:val="WW8Num62z0"/>
    <w:qFormat/>
    <w:rPr>
      <w:rFonts w:ascii="Palatino" w:hAnsi="Palatino" w:cs="Palatino"/>
      <w:b w:val="false"/>
      <w:i w:val="false"/>
      <w:sz w:val="20"/>
      <w:u w:val="none"/>
    </w:rPr>
  </w:style>
  <w:style w:type="character" w:styleId="WW8Num63z0">
    <w:name w:val="WW8Num63z0"/>
    <w:qFormat/>
    <w:rPr>
      <w:rFonts w:ascii="Palatino" w:hAnsi="Palatino" w:cs="Palatino"/>
      <w:b w:val="false"/>
      <w:i w:val="false"/>
      <w:sz w:val="20"/>
      <w:u w:val="none"/>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Palatino" w:hAnsi="Palatino" w:cs="Palatino"/>
      <w:b w:val="false"/>
      <w:i w:val="false"/>
      <w:sz w:val="20"/>
      <w:u w:val="none"/>
    </w:rPr>
  </w:style>
  <w:style w:type="character" w:styleId="WW8Num69z0">
    <w:name w:val="WW8Num69z0"/>
    <w:qFormat/>
    <w:rPr>
      <w:rFonts w:ascii="Palatino" w:hAnsi="Palatino" w:cs="Palatino"/>
      <w:b w:val="false"/>
      <w:i w:val="false"/>
      <w:sz w:val="20"/>
      <w:u w:val="none"/>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1080" w:end="0"/>
    </w:pPr>
    <w:rPr>
      <w:sz w:val="24"/>
    </w:rPr>
  </w:style>
  <w:style w:type="paragraph" w:styleId="IndexHeading">
    <w:name w:val="index heading"/>
    <w:basedOn w:val="Normal"/>
    <w:next w:val="Normal"/>
    <w:qFormat/>
    <w:pPr>
      <w:tabs>
        <w:tab w:val="clear" w:pos="720"/>
        <w:tab w:val="left" w:pos="1260" w:leader="none"/>
        <w:tab w:val="left" w:pos="2160" w:leader="none"/>
      </w:tabs>
      <w:ind w:hanging="0" w:start="720" w:end="0"/>
    </w:pPr>
    <w:rPr>
      <w:rFonts w:ascii="Helvetica" w:hAnsi="Helvetica" w:cs="Helvetica"/>
      <w:sz w:val="24"/>
    </w:rPr>
  </w:style>
  <w:style w:type="paragraph" w:styleId="Normalindent">
    <w:name w:val="Normal indent"/>
    <w:basedOn w:val="Normal"/>
    <w:next w:val="Normal"/>
    <w:qFormat/>
    <w:pPr>
      <w:ind w:hanging="0" w:start="720" w:end="0"/>
    </w:pPr>
    <w:rPr>
      <w:rFonts w:ascii="Times" w:hAnsi="Times" w:cs="Times"/>
    </w:rPr>
  </w:style>
  <w:style w:type="paragraph" w:styleId="docheader1">
    <w:name w:val="doc header1"/>
    <w:basedOn w:val="Normal"/>
    <w:qFormat/>
    <w:pPr>
      <w:tabs>
        <w:tab w:val="clear" w:pos="720"/>
        <w:tab w:val="left" w:pos="1440" w:leader="none"/>
      </w:tabs>
      <w:ind w:hanging="0" w:start="720" w:end="-180"/>
    </w:pPr>
    <w:rPr>
      <w:rFonts w:ascii="Helvetica" w:hAnsi="Helvetica" w:cs="Helvetica"/>
      <w:b/>
      <w:sz w:val="28"/>
    </w:rPr>
  </w:style>
  <w:style w:type="paragraph" w:styleId="table">
    <w:name w:val="table"/>
    <w:basedOn w:val="Normal"/>
    <w:qFormat/>
    <w:pPr>
      <w:tabs>
        <w:tab w:val="left" w:pos="720" w:leader="none"/>
      </w:tabs>
      <w:spacing w:before="80" w:after="0"/>
    </w:pPr>
    <w:rPr>
      <w:rFonts w:ascii="Helvetica" w:hAnsi="Helvetica" w:cs="Helvetica"/>
    </w:rPr>
  </w:style>
  <w:style w:type="paragraph" w:styleId="tablehdr4">
    <w:name w:val="table hdr 4"/>
    <w:basedOn w:val="table"/>
    <w:qFormat/>
    <w:pPr/>
    <w:rPr>
      <w:b/>
    </w:rPr>
  </w:style>
  <w:style w:type="paragraph" w:styleId="NORMALU">
    <w:name w:val="NORMALU"/>
    <w:basedOn w:val="Normal"/>
    <w:qFormat/>
    <w:pPr>
      <w:tabs>
        <w:tab w:val="clear" w:pos="720"/>
        <w:tab w:val="left" w:pos="1440" w:leader="none"/>
      </w:tabs>
      <w:ind w:hanging="0" w:start="720" w:end="-187"/>
    </w:pPr>
    <w:rPr>
      <w:rFonts w:ascii="Helvetica" w:hAnsi="Helvetica" w:cs="Helvetica"/>
      <w:b/>
      <w:u w:val="single"/>
    </w:rPr>
  </w:style>
  <w:style w:type="paragraph" w:styleId="Bullet">
    <w:name w:val="Bullet"/>
    <w:basedOn w:val="Normal"/>
    <w:qFormat/>
    <w:pPr>
      <w:tabs>
        <w:tab w:val="clear" w:pos="720"/>
        <w:tab w:val="left" w:pos="2160" w:leader="none"/>
        <w:tab w:val="left" w:pos="2592" w:leader="none"/>
        <w:tab w:val="left" w:pos="2880" w:leader="none"/>
      </w:tabs>
      <w:ind w:hanging="446" w:start="1166" w:end="-288"/>
    </w:pPr>
    <w:rPr>
      <w:rFonts w:ascii="Helvetica" w:hAnsi="Helvetica" w:cs="Helvetica"/>
      <w:b/>
    </w:rPr>
  </w:style>
  <w:style w:type="paragraph" w:styleId="Figure">
    <w:name w:val="Figure"/>
    <w:basedOn w:val="Normal"/>
    <w:qFormat/>
    <w:pPr>
      <w:tabs>
        <w:tab w:val="clear" w:pos="720"/>
        <w:tab w:val="left" w:pos="1440" w:leader="none"/>
      </w:tabs>
      <w:ind w:hanging="0" w:start="720" w:end="0"/>
      <w:jc w:val="center"/>
    </w:pPr>
    <w:rPr>
      <w:rFonts w:ascii="Helvetica" w:hAnsi="Helvetica" w:cs="Helvetica"/>
      <w:sz w:val="24"/>
    </w:rPr>
  </w:style>
  <w:style w:type="paragraph" w:styleId="text">
    <w:name w:val="text"/>
    <w:basedOn w:val="Normal"/>
    <w:qFormat/>
    <w:pPr>
      <w:tabs>
        <w:tab w:val="clear" w:pos="720"/>
        <w:tab w:val="left" w:pos="1440" w:leader="none"/>
      </w:tabs>
      <w:spacing w:before="120" w:after="0"/>
      <w:ind w:hanging="0" w:start="720" w:end="0"/>
    </w:pPr>
    <w:rPr>
      <w:rFonts w:ascii="Times" w:hAnsi="Times" w:cs="Times"/>
    </w:rPr>
  </w:style>
  <w:style w:type="paragraph" w:styleId="textbullet">
    <w:name w:val="text bullet"/>
    <w:basedOn w:val="text"/>
    <w:qFormat/>
    <w:pPr>
      <w:tabs>
        <w:tab w:val="clear" w:pos="1440"/>
        <w:tab w:val="left" w:pos="1080" w:leader="none"/>
      </w:tabs>
      <w:ind w:hanging="720" w:start="720" w:end="0"/>
    </w:pPr>
    <w:rPr>
      <w:sz w:val="24"/>
    </w:rPr>
  </w:style>
  <w:style w:type="paragraph" w:styleId="list1">
    <w:name w:val="list1"/>
    <w:basedOn w:val="Normal"/>
    <w:qFormat/>
    <w:pPr>
      <w:tabs>
        <w:tab w:val="clear" w:pos="720"/>
        <w:tab w:val="left" w:pos="1260" w:leader="none"/>
        <w:tab w:val="left" w:pos="2160" w:leader="none"/>
      </w:tabs>
      <w:ind w:hanging="360" w:start="720" w:end="0"/>
    </w:pPr>
    <w:rPr>
      <w:rFonts w:ascii="Geneva" w:hAnsi="Geneva" w:cs="Geneva"/>
    </w:rPr>
  </w:style>
  <w:style w:type="paragraph" w:styleId="TOCheader">
    <w:name w:val="TOCheader"/>
    <w:basedOn w:val="tablehdr4"/>
    <w:qFormat/>
    <w:pPr>
      <w:tabs>
        <w:tab w:val="left" w:pos="720" w:leader="none"/>
        <w:tab w:val="left" w:pos="1260" w:leader="none"/>
        <w:tab w:val="left" w:pos="2160" w:leader="none"/>
        <w:tab w:val="left" w:pos="2880" w:leader="none"/>
        <w:tab w:val="left" w:pos="7560" w:leader="none"/>
        <w:tab w:val="left" w:pos="8820" w:leader="none"/>
        <w:tab w:val="left" w:pos="9720" w:leader="none"/>
      </w:tabs>
      <w:ind w:hanging="0" w:start="0" w:end="-1440"/>
    </w:pPr>
    <w:rPr/>
  </w:style>
  <w:style w:type="paragraph" w:styleId="table2">
    <w:name w:val="table2"/>
    <w:basedOn w:val="table"/>
    <w:qFormat/>
    <w:pPr>
      <w:tabs>
        <w:tab w:val="left" w:pos="720" w:leader="none"/>
        <w:tab w:val="left" w:pos="1260" w:leader="none"/>
        <w:tab w:val="left" w:pos="2160" w:leader="none"/>
      </w:tabs>
      <w:ind w:hanging="0" w:start="0" w:end="20"/>
    </w:pPr>
    <w:rPr/>
  </w:style>
  <w:style w:type="paragraph" w:styleId="priceditem">
    <w:name w:val="priced item"/>
    <w:basedOn w:val="Normal"/>
    <w:qFormat/>
    <w:pPr>
      <w:tabs>
        <w:tab w:val="clear" w:pos="720"/>
        <w:tab w:val="left" w:pos="1260" w:leader="none"/>
        <w:tab w:val="left" w:pos="2160" w:leader="none"/>
        <w:tab w:val="right" w:pos="7380" w:leader="dot"/>
        <w:tab w:val="right" w:pos="7740" w:leader="none"/>
        <w:tab w:val="right" w:pos="8640" w:leader="none"/>
      </w:tabs>
      <w:spacing w:before="60" w:after="60"/>
      <w:ind w:hanging="1440" w:start="1440" w:end="1800"/>
    </w:pPr>
    <w:rPr>
      <w:rFonts w:ascii="Times" w:hAnsi="Times" w:cs="Times"/>
      <w:sz w:val="24"/>
    </w:rPr>
  </w:style>
  <w:style w:type="paragraph" w:styleId="response">
    <w:name w:val="response"/>
    <w:basedOn w:val="Normal"/>
    <w:qFormat/>
    <w:pPr>
      <w:tabs>
        <w:tab w:val="clear" w:pos="720"/>
        <w:tab w:val="left" w:pos="1260" w:leader="none"/>
        <w:tab w:val="left" w:pos="2160" w:leader="none"/>
      </w:tabs>
      <w:ind w:hanging="0" w:start="1080" w:end="0"/>
      <w:jc w:val="both"/>
    </w:pPr>
    <w:rPr>
      <w:rFonts w:ascii="Palatino" w:hAnsi="Palatino" w:cs="Palatino"/>
      <w:sz w:val="24"/>
    </w:rPr>
  </w:style>
  <w:style w:type="paragraph" w:styleId="bullets2">
    <w:name w:val="bullets 2"/>
    <w:basedOn w:val="Normal"/>
    <w:qFormat/>
    <w:pPr>
      <w:tabs>
        <w:tab w:val="clear" w:pos="720"/>
        <w:tab w:val="left" w:pos="1260" w:leader="none"/>
        <w:tab w:val="left" w:pos="2160" w:leader="none"/>
      </w:tabs>
      <w:ind w:hanging="360" w:start="2700" w:end="0"/>
      <w:jc w:val="both"/>
    </w:pPr>
    <w:rPr>
      <w:rFonts w:ascii="Palatino" w:hAnsi="Palatino" w:cs="Palatino"/>
      <w:sz w:val="24"/>
    </w:rPr>
  </w:style>
  <w:style w:type="paragraph" w:styleId="response2">
    <w:name w:val="response 2"/>
    <w:basedOn w:val="Normal"/>
    <w:qFormat/>
    <w:pPr>
      <w:tabs>
        <w:tab w:val="clear" w:pos="720"/>
        <w:tab w:val="left" w:pos="1260" w:leader="none"/>
        <w:tab w:val="left" w:pos="2160" w:leader="none"/>
      </w:tabs>
      <w:ind w:hanging="0" w:start="1980" w:end="0"/>
      <w:jc w:val="both"/>
    </w:pPr>
    <w:rPr>
      <w:rFonts w:ascii="Palatino" w:hAnsi="Palatino" w:cs="Palatino"/>
      <w:sz w:val="24"/>
    </w:rPr>
  </w:style>
  <w:style w:type="paragraph" w:styleId="plain">
    <w:name w:val="plain"/>
    <w:basedOn w:val="Normal"/>
    <w:next w:val="Normal"/>
    <w:qFormat/>
    <w:pPr>
      <w:tabs>
        <w:tab w:val="clear" w:pos="720"/>
        <w:tab w:val="left" w:pos="1260" w:leader="none"/>
        <w:tab w:val="left" w:pos="2160" w:leader="none"/>
        <w:tab w:val="right" w:pos="7560" w:leader="dot"/>
        <w:tab w:val="right" w:pos="7920" w:leader="none"/>
        <w:tab w:val="right" w:pos="8640" w:leader="none"/>
      </w:tabs>
      <w:spacing w:before="60" w:after="60"/>
      <w:ind w:hanging="1800" w:start="1800" w:end="1800"/>
    </w:pPr>
    <w:rPr>
      <w:rFonts w:ascii="Helvetica" w:hAnsi="Helvetica" w:cs="Helvetica"/>
    </w:rPr>
  </w:style>
  <w:style w:type="paragraph" w:styleId="bullets">
    <w:name w:val="bullets"/>
    <w:basedOn w:val="Normal"/>
    <w:qFormat/>
    <w:pPr>
      <w:tabs>
        <w:tab w:val="clear" w:pos="720"/>
        <w:tab w:val="left" w:pos="1260" w:leader="none"/>
      </w:tabs>
      <w:ind w:hanging="540" w:start="1620" w:end="0"/>
      <w:jc w:val="both"/>
    </w:pPr>
    <w:rPr>
      <w:rFonts w:ascii="Helvetica" w:hAnsi="Helvetica" w:cs="Helvetica"/>
      <w:sz w:val="24"/>
    </w:rPr>
  </w:style>
  <w:style w:type="paragraph" w:styleId="productguide">
    <w:name w:val="product guide"/>
    <w:basedOn w:val="Normal"/>
    <w:qFormat/>
    <w:pPr/>
    <w:rPr>
      <w:rFonts w:ascii="Times" w:hAnsi="Times" w:cs="Times"/>
      <w:sz w:val="24"/>
    </w:rPr>
  </w:style>
  <w:style w:type="paragraph" w:styleId="ibm">
    <w:name w:val="ibm"/>
    <w:next w:val="Normal"/>
    <w:qFormat/>
    <w:pPr>
      <w:widowControl/>
      <w:bidi w:val="0"/>
      <w:spacing w:lineRule="atLeast" w:line="360"/>
      <w:ind w:hanging="0" w:start="0" w:end="-1440"/>
    </w:pPr>
    <w:rPr>
      <w:rFonts w:ascii="Times" w:hAnsi="Times" w:eastAsia="Times New Roman" w:cs="Times"/>
      <w:color w:val="auto"/>
      <w:sz w:val="24"/>
      <w:szCs w:val="20"/>
      <w:lang w:val="en-US" w:eastAsia="zh-CN" w:bidi="hi-IN"/>
    </w:rPr>
  </w:style>
  <w:style w:type="paragraph" w:styleId="append1">
    <w:name w:val="append 1"/>
    <w:basedOn w:val="Normal"/>
    <w:qFormat/>
    <w:pPr>
      <w:tabs>
        <w:tab w:val="clear" w:pos="720"/>
        <w:tab w:val="left" w:pos="1440" w:leader="none"/>
        <w:tab w:val="left" w:pos="8640" w:leader="dot"/>
        <w:tab w:val="right" w:pos="9000" w:leader="none"/>
      </w:tabs>
    </w:pPr>
    <w:rPr>
      <w:rFonts w:ascii="Times" w:hAnsi="Times" w:cs="Times"/>
      <w:b/>
      <w:sz w:val="28"/>
    </w:rPr>
  </w:style>
  <w:style w:type="paragraph" w:styleId="normal1">
    <w:name w:val="normal1"/>
    <w:basedOn w:val="Normal"/>
    <w:qFormat/>
    <w:pPr>
      <w:tabs>
        <w:tab w:val="clear" w:pos="720"/>
        <w:tab w:val="left" w:pos="360" w:leader="none"/>
      </w:tabs>
    </w:pPr>
    <w:rPr>
      <w:rFonts w:ascii="Times" w:hAnsi="Times" w:cs="Times"/>
      <w:sz w:val="24"/>
    </w:rPr>
  </w:style>
  <w:style w:type="paragraph" w:styleId="WPNormal">
    <w:name w:val="WP_Normal"/>
    <w:basedOn w:val="Normal"/>
    <w:qFormat/>
    <w:pPr/>
    <w:rPr>
      <w:rFonts w:ascii="Palatino" w:hAnsi="Palatino" w:cs="Palatino"/>
      <w:sz w:val="24"/>
    </w:rPr>
  </w:style>
  <w:style w:type="paragraph" w:styleId="fineprint">
    <w:name w:val="fine print"/>
    <w:qFormat/>
    <w:pPr>
      <w:widowControl/>
      <w:tabs>
        <w:tab w:val="clear" w:pos="720"/>
        <w:tab w:val="left" w:pos="1620" w:leader="none"/>
      </w:tabs>
      <w:bidi w:val="0"/>
      <w:spacing w:lineRule="atLeast" w:line="160" w:before="0" w:after="87"/>
      <w:jc w:val="both"/>
    </w:pPr>
    <w:rPr>
      <w:rFonts w:ascii="Times" w:hAnsi="Times" w:eastAsia="Times New Roman" w:cs="Times"/>
      <w:color w:val="auto"/>
      <w:sz w:val="14"/>
      <w:szCs w:val="20"/>
      <w:lang w:val="en-US" w:eastAsia="zh-CN" w:bidi="hi-IN"/>
    </w:rPr>
  </w:style>
  <w:style w:type="paragraph" w:styleId="fineprint1">
    <w:name w:val="fine print"/>
    <w:qFormat/>
    <w:pPr>
      <w:widowControl/>
      <w:tabs>
        <w:tab w:val="clear" w:pos="720"/>
        <w:tab w:val="left" w:pos="1620" w:leader="none"/>
      </w:tabs>
      <w:bidi w:val="0"/>
      <w:spacing w:lineRule="atLeast" w:line="160" w:before="0" w:after="87"/>
      <w:jc w:val="both"/>
    </w:pPr>
    <w:rPr>
      <w:rFonts w:ascii="Times" w:hAnsi="Times" w:eastAsia="Times New Roman" w:cs="Times"/>
      <w:color w:val="auto"/>
      <w:sz w:val="14"/>
      <w:szCs w:val="20"/>
      <w:lang w:val="en-US" w:eastAsia="zh-CN" w:bidi="hi-IN"/>
    </w:rPr>
  </w:style>
  <w:style w:type="paragraph" w:styleId="timesheadA">
    <w:name w:val="times head A"/>
    <w:basedOn w:val="Normal"/>
    <w:next w:val="Normal"/>
    <w:qFormat/>
    <w:pPr>
      <w:tabs>
        <w:tab w:val="clear" w:pos="720"/>
        <w:tab w:val="right" w:pos="7266" w:leader="none"/>
      </w:tabs>
      <w:spacing w:lineRule="atLeast" w:line="306"/>
      <w:jc w:val="center"/>
    </w:pPr>
    <w:rPr>
      <w:rFonts w:ascii="Chicago;Arial" w:hAnsi="Chicago;Arial" w:cs="Chicago;Arial"/>
      <w:sz w:val="28"/>
    </w:rPr>
  </w:style>
  <w:style w:type="paragraph" w:styleId="numbered">
    <w:name w:val="numbered"/>
    <w:qFormat/>
    <w:pPr>
      <w:widowControl/>
      <w:tabs>
        <w:tab w:val="clear" w:pos="720"/>
        <w:tab w:val="left" w:pos="315" w:leader="none"/>
        <w:tab w:val="right" w:pos="8711" w:leader="none"/>
      </w:tabs>
      <w:bidi w:val="0"/>
      <w:spacing w:lineRule="atLeast" w:line="240" w:before="0" w:after="144"/>
      <w:ind w:hanging="316" w:start="316" w:end="0"/>
      <w:jc w:val="both"/>
    </w:pPr>
    <w:rPr>
      <w:rFonts w:ascii="Helvetica" w:hAnsi="Helvetica" w:eastAsia="Times New Roman" w:cs="Helvetica"/>
      <w:color w:val="auto"/>
      <w:sz w:val="20"/>
      <w:szCs w:val="20"/>
      <w:lang w:val="en-US" w:eastAsia="zh-CN" w:bidi="hi-IN"/>
    </w:rPr>
  </w:style>
  <w:style w:type="paragraph" w:styleId="headA">
    <w:name w:val="head A"/>
    <w:qFormat/>
    <w:pPr>
      <w:widowControl/>
      <w:tabs>
        <w:tab w:val="clear" w:pos="720"/>
        <w:tab w:val="right" w:pos="7266" w:leader="none"/>
      </w:tabs>
      <w:bidi w:val="0"/>
      <w:spacing w:lineRule="atLeast" w:line="306"/>
      <w:jc w:val="center"/>
    </w:pPr>
    <w:rPr>
      <w:rFonts w:ascii="Chicago;Arial" w:hAnsi="Chicago;Arial" w:eastAsia="Times New Roman" w:cs="Chicago;Arial"/>
      <w:color w:val="auto"/>
      <w:sz w:val="28"/>
      <w:szCs w:val="20"/>
      <w:lang w:val="en-US" w:eastAsia="zh-CN" w:bidi="hi-IN"/>
    </w:rPr>
  </w:style>
  <w:style w:type="paragraph" w:styleId="copies">
    <w:name w:val="copies"/>
    <w:qFormat/>
    <w:pPr>
      <w:widowControl/>
      <w:tabs>
        <w:tab w:val="clear" w:pos="720"/>
        <w:tab w:val="left" w:pos="3600" w:leader="none"/>
        <w:tab w:val="right" w:pos="5610" w:leader="none"/>
      </w:tabs>
      <w:bidi w:val="0"/>
      <w:spacing w:lineRule="atLeast" w:line="240" w:before="0" w:after="144"/>
      <w:ind w:hanging="0" w:start="745" w:end="0"/>
    </w:pPr>
    <w:rPr>
      <w:rFonts w:ascii="Helvetica" w:hAnsi="Helvetica" w:eastAsia="Times New Roman" w:cs="Helvetica"/>
      <w:color w:val="auto"/>
      <w:sz w:val="20"/>
      <w:szCs w:val="20"/>
      <w:lang w:val="en-US" w:eastAsia="zh-CN" w:bidi="hi-IN"/>
    </w:rPr>
  </w:style>
  <w:style w:type="paragraph" w:styleId="BodyTextIndent2">
    <w:name w:val="Body Text Indent 2"/>
    <w:basedOn w:val="Normal"/>
    <w:qFormat/>
    <w:pPr>
      <w:ind w:firstLine="720" w:start="0" w:end="0"/>
    </w:pPr>
    <w:rPr>
      <w:sz w:val="24"/>
    </w:rPr>
  </w:style>
  <w:style w:type="paragraph" w:styleId="BodyText3">
    <w:name w:val="Body Text 3"/>
    <w:basedOn w:val="Normal"/>
    <w:qFormat/>
    <w:pPr/>
    <w:rPr>
      <w:sz w:val="24"/>
    </w:rPr>
  </w:style>
  <w:style w:type="paragraph" w:styleId="BodyTextIndent3">
    <w:name w:val="Body Text Indent 3"/>
    <w:basedOn w:val="Normal"/>
    <w:qFormat/>
    <w:pPr>
      <w:ind w:firstLine="720" w:start="0" w:end="0"/>
      <w:jc w:val="both"/>
    </w:pPr>
    <w:rPr>
      <w:b/>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 w:type="paragraph" w:styleId="BodyText2">
    <w:name w:val="Body Text 2"/>
    <w:basedOn w:val="Normal"/>
    <w:qFormat/>
    <w:pPr/>
    <w:rPr>
      <w:sz w:val="16"/>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2000-10-06T17:54:00Z</dcterms:created>
  <dc:creator>Steve Abbanat</dc:creator>
  <dc:description/>
  <dc:language>en-CA</dc:language>
  <cp:lastModifiedBy>peter_feltman</cp:lastModifiedBy>
  <cp:lastPrinted>2000-10-06T11:14:00Z</cp:lastPrinted>
  <dcterms:modified xsi:type="dcterms:W3CDTF">2000-10-06T17:55:00Z</dcterms:modified>
  <cp:revision>3</cp:revision>
  <dc:subject/>
  <dc:title>Memorandum of Understanding</dc:title>
</cp:coreProperties>
</file>