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LeBoeuf, Lamb, Greene &amp; MacRae</w:t>
      </w:r>
    </w:p>
    <w:p>
      <w:pPr>
        <w:pStyle w:val="Normal"/>
        <w:jc w:val="center"/>
        <w:rPr>
          <w:rFonts w:ascii="Univers" w:hAnsi="Univers" w:cs="Univers"/>
          <w:smallCaps/>
        </w:rPr>
      </w:pPr>
      <w:r>
        <w:rPr>
          <w:rFonts w:cs="Univers" w:ascii="Univers" w:hAnsi="Univers"/>
          <w:smallCaps/>
        </w:rPr>
        <w:t>L.L.P.</w:t>
      </w:r>
    </w:p>
    <w:p>
      <w:pPr>
        <w:pStyle w:val="Normal"/>
        <w:jc w:val="center"/>
        <w:rPr>
          <w:rFonts w:ascii="Univers" w:hAnsi="Univers" w:cs="Univers"/>
          <w:smallCaps/>
          <w:sz w:val="12"/>
        </w:rPr>
      </w:pPr>
      <w:r>
        <w:rPr>
          <w:rFonts w:cs="Univers" w:ascii="Univers" w:hAnsi="Univers"/>
          <w:smallCaps/>
          <w:sz w:val="12"/>
        </w:rPr>
        <w:t>A LIMITED LIABILITY PARTNERSHIP INCLUDING PROFESSIONAL CORPORATIONS</w:t>
      </w:r>
    </w:p>
    <w:p>
      <w:pPr>
        <w:pStyle w:val="Normal"/>
        <w:jc w:val="center"/>
        <w:rPr/>
      </w:pPr>
      <w:r>
        <w:fldChar w:fldCharType="begin"/>
      </w:r>
      <w:r>
        <w:rPr/>
        <w:instrText xml:space="preserve">ADVANCE \d 10</w:instrText>
      </w:r>
      <w:r>
        <w:rPr/>
      </w:r>
      <w:r>
        <w:rPr/>
        <w:fldChar w:fldCharType="separate"/>
      </w:r>
      <w:r>
        <w:rPr/>
      </w:r>
      <w:r>
        <w:rPr/>
      </w:r>
      <w:r>
        <w:rPr/>
        <w:fldChar w:fldCharType="end"/>
      </w:r>
      <w:r>
        <w:rPr>
          <w:rFonts w:cs="Univers" w:ascii="Univers" w:hAnsi="Univers"/>
          <w:smallCaps/>
        </w:rPr>
        <w:t>1875 Connecticut Avenue, N.W.</w:t>
      </w:r>
    </w:p>
    <w:p>
      <w:pPr>
        <w:pStyle w:val="Normal"/>
        <w:jc w:val="center"/>
        <w:rPr/>
      </w:pPr>
      <w:r>
        <w:fldChar w:fldCharType="begin"/>
      </w:r>
      <w:r>
        <w:rPr>
          <w:spacing w:val="10"/>
        </w:rPr>
        <w:instrText xml:space="preserve">ADVANCE \d 4</w:instrText>
      </w:r>
      <w:r>
        <w:rPr>
          <w:spacing w:val="10"/>
        </w:rPr>
      </w:r>
      <w:r>
        <w:rPr>
          <w:spacing w:val="10"/>
        </w:rPr>
        <w:fldChar w:fldCharType="separate"/>
      </w:r>
      <w:r>
        <w:rPr>
          <w:spacing w:val="10"/>
        </w:rPr>
      </w:r>
      <w:r>
        <w:rPr>
          <w:spacing w:val="10"/>
        </w:rPr>
      </w:r>
      <w:r>
        <w:rPr>
          <w:spacing w:val="10"/>
        </w:rPr>
        <w:fldChar w:fldCharType="end"/>
      </w:r>
      <w:r>
        <w:rPr>
          <w:rFonts w:cs="Univers" w:ascii="Univers" w:hAnsi="Univers"/>
          <w:smallCaps/>
        </w:rPr>
        <w:t>Suite 1200</w:t>
      </w:r>
    </w:p>
    <w:p>
      <w:pPr>
        <w:pStyle w:val="Heading1"/>
        <w:ind w:hanging="0" w:start="0"/>
        <w:jc w:val="center"/>
        <w:rPr/>
      </w:pPr>
      <w:r>
        <w:fldChar w:fldCharType="begin"/>
      </w:r>
      <w:r>
        <w:rPr>
          <w:spacing w:val="10"/>
        </w:rPr>
        <w:instrText xml:space="preserve">ADVANCE \d 4</w:instrText>
      </w:r>
      <w:r>
        <w:rPr>
          <w:spacing w:val="10"/>
        </w:rPr>
      </w:r>
      <w:r>
        <w:rPr>
          <w:spacing w:val="10"/>
        </w:rPr>
        <w:fldChar w:fldCharType="separate"/>
      </w:r>
      <w:r>
        <w:rPr>
          <w:spacing w:val="10"/>
        </w:rPr>
      </w:r>
      <w:r>
        <w:rPr>
          <w:spacing w:val="10"/>
        </w:rPr>
      </w:r>
      <w:r>
        <w:rPr>
          <w:spacing w:val="10"/>
        </w:rPr>
        <w:fldChar w:fldCharType="end"/>
      </w:r>
      <w:r>
        <w:rPr>
          <w:rFonts w:cs="Univers" w:ascii="Univers" w:hAnsi="Univers"/>
          <w:smallCaps/>
          <w:u w:val="none"/>
        </w:rPr>
        <w:t>Washington, DC  20009–5728</w:t>
      </w:r>
    </w:p>
    <w:p>
      <w:pPr>
        <w:pStyle w:val="Normal"/>
        <w:rPr>
          <w:rFonts w:ascii="Univers" w:hAnsi="Univers" w:cs="Univers"/>
          <w:smallCaps/>
          <w:u w:val="none"/>
        </w:rPr>
      </w:pPr>
      <w:r>
        <w:rPr>
          <w:rFonts w:cs="Univers" w:ascii="Univers" w:hAnsi="Univers"/>
          <w:smallCaps/>
          <w:u w:val="none"/>
        </w:rPr>
      </w:r>
    </w:p>
    <w:p>
      <w:pPr>
        <w:pStyle w:val="Normal"/>
        <w:rPr/>
      </w:pPr>
      <w:r>
        <w:rPr/>
        <w:t>PRIVILEGED AND CONFIDENTIAL</w:t>
      </w:r>
    </w:p>
    <w:p>
      <w:pPr>
        <w:pStyle w:val="Heading1"/>
        <w:ind w:hanging="0" w:start="0"/>
        <w:rPr>
          <w:u w:val="none"/>
        </w:rPr>
      </w:pPr>
      <w:r>
        <w:rPr>
          <w:u w:val="none"/>
        </w:rPr>
        <w:tab/>
        <w:tab/>
        <w:tab/>
        <w:tab/>
        <w:tab/>
        <w:tab/>
        <w:tab/>
      </w:r>
    </w:p>
    <w:p>
      <w:pPr>
        <w:pStyle w:val="Normal"/>
        <w:rPr/>
      </w:pPr>
      <w:r>
        <w:rPr/>
        <w:tab/>
        <w:tab/>
        <w:tab/>
        <w:tab/>
        <w:tab/>
        <w:tab/>
        <w:t>July 27, 2001</w:t>
      </w:r>
    </w:p>
    <w:p>
      <w:pPr>
        <w:pStyle w:val="Heading1"/>
        <w:ind w:hanging="0" w:start="0"/>
        <w:rPr>
          <w:u w:val="none"/>
        </w:rPr>
      </w:pPr>
      <w:r>
        <w:rPr>
          <w:u w:val="none"/>
        </w:rPr>
        <w:tab/>
        <w:tab/>
        <w:tab/>
        <w:tab/>
        <w:tab/>
        <w:tab/>
      </w:r>
    </w:p>
    <w:p>
      <w:pPr>
        <w:pStyle w:val="Heading1"/>
        <w:ind w:hanging="0" w:start="0"/>
        <w:rPr>
          <w:b/>
          <w:u w:val="none"/>
        </w:rPr>
      </w:pPr>
      <w:r>
        <w:rPr>
          <w:b/>
          <w:u w:val="none"/>
        </w:rPr>
        <w:t>Memorandum</w:t>
      </w:r>
    </w:p>
    <w:p>
      <w:pPr>
        <w:pStyle w:val="Normal"/>
        <w:rPr>
          <w:b/>
          <w:u w:val="none"/>
        </w:rPr>
      </w:pPr>
      <w:r>
        <w:rPr>
          <w:b/>
          <w:u w:val="none"/>
        </w:rPr>
      </w:r>
    </w:p>
    <w:p>
      <w:pPr>
        <w:pStyle w:val="Heading1"/>
        <w:ind w:hanging="720" w:start="720" w:end="0"/>
        <w:rPr>
          <w:u w:val="none"/>
        </w:rPr>
      </w:pPr>
      <w:r>
        <w:rPr>
          <w:u w:val="none"/>
        </w:rPr>
        <w:t>Re:</w:t>
        <w:tab/>
      </w:r>
      <w:r>
        <w:rPr/>
        <w:t>Federal Energy Regulatory Commission Considerations Affecting Base Gas Transaction Structures</w:t>
      </w:r>
    </w:p>
    <w:p>
      <w:pPr>
        <w:pStyle w:val="Heading1"/>
        <w:ind w:hanging="0" w:start="0"/>
        <w:rPr>
          <w:u w:val="none"/>
        </w:rPr>
      </w:pPr>
      <w:r>
        <w:rPr>
          <w:u w:val="none"/>
        </w:rPr>
      </w:r>
    </w:p>
    <w:p>
      <w:pPr>
        <w:pStyle w:val="Normal"/>
        <w:rPr/>
      </w:pPr>
      <w:r>
        <w:rPr/>
        <w:t>To:</w:t>
        <w:tab/>
        <w:t>Paul W. Bienawski</w:t>
        <w:tab/>
        <w:t xml:space="preserve">Robert Neustaedter </w:t>
        <w:tab/>
        <w:t>Eva Rainer</w:t>
      </w:r>
    </w:p>
    <w:p>
      <w:pPr>
        <w:pStyle w:val="Normal"/>
        <w:ind w:firstLine="720" w:end="0"/>
        <w:rPr/>
      </w:pPr>
      <w:r>
        <w:rPr/>
        <w:t>Donna Fulton</w:t>
        <w:tab/>
        <w:tab/>
        <w:t>Sarah Novosel</w:t>
        <w:tab/>
        <w:tab/>
        <w:t>Miguel Vasquez</w:t>
        <w:tab/>
        <w:tab/>
      </w:r>
    </w:p>
    <w:p>
      <w:pPr>
        <w:pStyle w:val="Normal"/>
        <w:rPr/>
      </w:pPr>
      <w:r>
        <w:rPr/>
        <w:tab/>
      </w:r>
    </w:p>
    <w:p>
      <w:pPr>
        <w:pStyle w:val="Normal"/>
        <w:rPr/>
      </w:pPr>
      <w:r>
        <w:rPr/>
        <w:t>From:</w:t>
        <w:tab/>
        <w:t>Lawrence G. Acker</w:t>
      </w:r>
    </w:p>
    <w:p>
      <w:pPr>
        <w:pStyle w:val="Normal"/>
        <w:rPr/>
      </w:pPr>
      <w:r>
        <w:rPr/>
        <w:tab/>
        <w:t>Brian D. O’Neill</w:t>
      </w:r>
    </w:p>
    <w:p>
      <w:pPr>
        <w:pStyle w:val="Normal"/>
        <w:rPr/>
      </w:pPr>
      <w:r>
        <w:rPr/>
      </w:r>
    </w:p>
    <w:p>
      <w:pPr>
        <w:pStyle w:val="Heading1"/>
        <w:ind w:hanging="0" w:start="0"/>
        <w:rPr>
          <w:b/>
        </w:rPr>
      </w:pPr>
      <w:r>
        <w:rPr>
          <w:b/>
        </w:rPr>
        <w:t>INTRODUCTION</w:t>
      </w:r>
    </w:p>
    <w:p>
      <w:pPr>
        <w:pStyle w:val="Footer"/>
        <w:tabs>
          <w:tab w:val="clear" w:pos="4320"/>
          <w:tab w:val="clear" w:pos="8640"/>
        </w:tabs>
        <w:rPr>
          <w:b/>
        </w:rPr>
      </w:pPr>
      <w:r>
        <w:rPr>
          <w:b/>
        </w:rPr>
      </w:r>
    </w:p>
    <w:p>
      <w:pPr>
        <w:pStyle w:val="Normal"/>
        <w:rPr/>
      </w:pPr>
      <w:r>
        <w:rPr/>
        <w:tab/>
        <w:t xml:space="preserve">This memorandum evaluates Federal Energy Regulatory Commission (FERC) matters under the Natural Gas Act (NGA) relating to Base Gas Transaction Structures which Enron North America is considering.  In particular, we analyze the federal regulatory considerations associated with 4 models (pure abandonment of a storage field; replacement of base gas with non-current working gas; replacement of a portion of base gas with working gas provided by compression; and replacement of base gas functionality with financial instruments, leaving base gas in place).  As the matters evaluated in this memorandum involve inherent regulatory uncertainty and are not based on concrete facts, this memorandum should not be considered to be a formal opinion of the firm. </w:t>
      </w:r>
    </w:p>
    <w:p>
      <w:pPr>
        <w:pStyle w:val="Normal"/>
        <w:rPr/>
      </w:pPr>
      <w:r>
        <w:rPr/>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ind w:firstLine="720" w:end="0"/>
        <w:rPr>
          <w:u w:val="single"/>
        </w:rPr>
      </w:pPr>
      <w:r>
        <w:rPr/>
        <w:t xml:space="preserve">In the evaluation we will: (i) identify and describe the filings that are likely to be needed, including whether regulatory authorizations are necessary to implement the various models; (ii) describe generally the effect on current rates of  participating pipelines; (iii) consider the likelihood of securing necessary authorizations; and (iv) provide our recommendations to enhance the likelihood of securing all needed authorizations from the FERC.  The foregoing portion of the evaluation is intended to be an overview only and, except for Questar Pipeline Company (Questar) and Dominion Transmission  Inc, (formerly CNG) (DTI), will not consider the circumstances of individual storage gas owners. </w:t>
      </w:r>
    </w:p>
    <w:p>
      <w:pPr>
        <w:pStyle w:val="Heading5"/>
        <w:ind w:hanging="0" w:start="0"/>
        <w:rPr>
          <w:u w:val="single"/>
        </w:rPr>
      </w:pPr>
      <w:r>
        <w:rPr>
          <w:u w:val="single"/>
        </w:rPr>
        <w:t>EXECUTIVE SUMMARY</w:t>
      </w:r>
    </w:p>
    <w:p>
      <w:pPr>
        <w:pStyle w:val="Normal"/>
        <w:rPr>
          <w:u w:val="single"/>
        </w:rPr>
      </w:pPr>
      <w:r>
        <w:rPr>
          <w:u w:val="single"/>
        </w:rPr>
      </w:r>
    </w:p>
    <w:p>
      <w:pPr>
        <w:pStyle w:val="Normal"/>
        <w:ind w:firstLine="720" w:end="0"/>
        <w:rPr/>
      </w:pPr>
      <w:r>
        <w:rPr/>
        <w:t xml:space="preserve">In broad summary, we conclude that: </w:t>
      </w:r>
    </w:p>
    <w:p>
      <w:pPr>
        <w:pStyle w:val="Normal"/>
        <w:ind w:firstLine="720" w:end="0"/>
        <w:rPr/>
      </w:pPr>
      <w:r>
        <w:rPr/>
      </w:r>
    </w:p>
    <w:p>
      <w:pPr>
        <w:pStyle w:val="Normal"/>
        <w:ind w:hanging="720" w:start="720" w:end="0"/>
        <w:rPr/>
      </w:pPr>
      <w:r>
        <w:rPr/>
        <w:t xml:space="preserve">(i) </w:t>
        <w:tab/>
        <w:t xml:space="preserve">storage gas cannot be abandoned, reclassified from working gas to base gas, or replaced by compression or financial instruments without triggering a jurisdictional event under Section 7 of the NGA; </w:t>
      </w:r>
    </w:p>
    <w:p>
      <w:pPr>
        <w:pStyle w:val="Normal"/>
        <w:ind w:hanging="720" w:start="1440" w:end="0"/>
        <w:rPr/>
      </w:pPr>
      <w:r>
        <w:rPr/>
      </w:r>
    </w:p>
    <w:p>
      <w:pPr>
        <w:pStyle w:val="Normal"/>
        <w:ind w:hanging="720" w:start="720" w:end="0"/>
        <w:rPr/>
      </w:pPr>
      <w:r>
        <w:rPr/>
        <w:t>(ii)</w:t>
        <w:tab/>
        <w:t>a pipeline likely will be permitted to retain the net gain on the sale of base gas and particularly so, if: (a) the ratepayers are insulated against operating risk; (b) ratepayers receive a net benefit in the form of reduced rate base in the next rate case; and (c) a public policy objective is fostered by the incentive of retaining net gain;</w:t>
      </w:r>
    </w:p>
    <w:p>
      <w:pPr>
        <w:pStyle w:val="Normal"/>
        <w:ind w:hanging="720" w:start="1440" w:end="0"/>
        <w:rPr/>
      </w:pPr>
      <w:r>
        <w:rPr/>
      </w:r>
    </w:p>
    <w:p>
      <w:pPr>
        <w:pStyle w:val="Normal"/>
        <w:ind w:hanging="720" w:start="720" w:end="0"/>
        <w:rPr/>
      </w:pPr>
      <w:r>
        <w:rPr/>
        <w:t>(iii)</w:t>
        <w:tab/>
        <w:t>issues respecting treatment of gain on sales of base gas, as well as concerns about whether a pre-arranged transaction would be consistent with the open access sales standards under section 284.284, are more likely to be avoided if the gas is sold to an affiliate at book value.  This path, however, creates the risk of the Commission looking through an affiliate transaction under which the pipeline receives less than market value for the sale of an asset;</w:t>
      </w:r>
    </w:p>
    <w:p>
      <w:pPr>
        <w:pStyle w:val="Normal"/>
        <w:ind w:firstLine="720" w:end="0"/>
        <w:rPr/>
      </w:pPr>
      <w:r>
        <w:rPr/>
      </w:r>
    </w:p>
    <w:p>
      <w:pPr>
        <w:pStyle w:val="Normal"/>
        <w:ind w:hanging="720" w:start="720" w:end="0"/>
        <w:rPr/>
      </w:pPr>
      <w:r>
        <w:rPr/>
        <w:t>(iv)</w:t>
        <w:tab/>
        <w:t>a pipeline may receive value in excess of book in the form of consideration for other services, although the Commission will look through sham transactions.  Service transactions must be structured to avoid being considered a proscribed option either because of non-conformity with the pipeline’s tariff or because firm capacity would be withheld from the market for other shippers offering to pay maximum rates;</w:t>
      </w:r>
    </w:p>
    <w:p>
      <w:pPr>
        <w:pStyle w:val="Normal"/>
        <w:ind w:firstLine="720" w:end="0"/>
        <w:rPr/>
      </w:pPr>
      <w:r>
        <w:rPr/>
      </w:r>
    </w:p>
    <w:p>
      <w:pPr>
        <w:pStyle w:val="Normal"/>
        <w:ind w:hanging="720" w:start="720" w:end="0"/>
        <w:rPr/>
      </w:pPr>
      <w:r>
        <w:rPr/>
        <w:t>(v)</w:t>
        <w:tab/>
        <w:t>the Commission is not likely to permit a pipeline to sell a functioning, operating asset at a gain, retain the gain and then after a time permit the pipeline to re-purchase the same asset at an elevated price, while recovering replacement costs from its ratepayers, without a clear and convincing showing of tangible, compensatory benefits to ratepayers; and</w:t>
      </w:r>
    </w:p>
    <w:p>
      <w:pPr>
        <w:pStyle w:val="Normal"/>
        <w:rPr/>
      </w:pPr>
      <w:r>
        <w:rPr/>
        <w:t xml:space="preserve"> </w:t>
      </w:r>
    </w:p>
    <w:p>
      <w:pPr>
        <w:pStyle w:val="Normal"/>
        <w:ind w:hanging="720" w:start="720" w:end="0"/>
        <w:rPr/>
      </w:pPr>
      <w:r>
        <w:rPr/>
        <w:t>(vi)</w:t>
        <w:tab/>
        <w:t>a pipeline seeking to sell base gas and retain proceeds should apply to the Commission for authority to construct a facility for which there is a particular need and condition the project on Commission approval of financing by using an approach consistent with Models 2, 3 or 4.  This introduces a public policy reason—infrastructure investment—to permit retention of net proceeds and provides concrete and measurable benefits against which future costs of Model 4’s reacquisition of base gas at future market prices (or the costs of options to do so) may be compared.  The optimal pipeline candidate will not have sought recovery from its customers of the cost of replacing lost base gas.</w:t>
      </w:r>
      <w:r>
        <w:br w:type="page"/>
      </w:r>
    </w:p>
    <w:p>
      <w:pPr>
        <w:pStyle w:val="Heading1"/>
        <w:ind w:hanging="0" w:start="0"/>
        <w:rPr>
          <w:b/>
        </w:rPr>
      </w:pPr>
      <w:r>
        <w:rPr>
          <w:b/>
        </w:rPr>
        <w:t>DETAILED STATEMENT</w:t>
      </w:r>
    </w:p>
    <w:p>
      <w:pPr>
        <w:pStyle w:val="Normal"/>
        <w:rPr>
          <w:b/>
        </w:rPr>
      </w:pPr>
      <w:r>
        <w:rPr>
          <w:b/>
        </w:rPr>
      </w:r>
    </w:p>
    <w:p>
      <w:pPr>
        <w:pStyle w:val="Heading1"/>
        <w:ind w:hanging="0" w:start="0"/>
        <w:rPr>
          <w:b/>
        </w:rPr>
      </w:pPr>
      <w:r>
        <w:rPr>
          <w:b/>
        </w:rPr>
        <w:t>Model 1</w:t>
      </w:r>
    </w:p>
    <w:p>
      <w:pPr>
        <w:pStyle w:val="Normal"/>
        <w:rPr>
          <w:b/>
        </w:rPr>
      </w:pPr>
      <w:r>
        <w:rPr>
          <w:b/>
        </w:rPr>
      </w:r>
    </w:p>
    <w:p>
      <w:pPr>
        <w:pStyle w:val="Footer"/>
        <w:tabs>
          <w:tab w:val="clear" w:pos="4320"/>
          <w:tab w:val="clear" w:pos="8640"/>
        </w:tabs>
        <w:rPr/>
      </w:pPr>
      <w:r>
        <w:rPr/>
        <w:tab/>
        <w:t xml:space="preserve">Model 1 assumes that all gas in a storage field that can be physically removed and sold in connection with abandonment.  We consider: </w:t>
      </w:r>
    </w:p>
    <w:p>
      <w:pPr>
        <w:pStyle w:val="Footer"/>
        <w:tabs>
          <w:tab w:val="clear" w:pos="4320"/>
          <w:tab w:val="clear" w:pos="8640"/>
        </w:tabs>
        <w:rPr/>
      </w:pPr>
      <w:r>
        <w:rPr/>
      </w:r>
    </w:p>
    <w:p>
      <w:pPr>
        <w:pStyle w:val="Footer"/>
        <w:tabs>
          <w:tab w:val="clear" w:pos="4320"/>
          <w:tab w:val="clear" w:pos="8640"/>
        </w:tabs>
        <w:ind w:firstLine="720" w:end="0"/>
        <w:rPr/>
      </w:pPr>
      <w:r>
        <w:rPr/>
        <w:t xml:space="preserve">(i) </w:t>
        <w:tab/>
        <w:t xml:space="preserve">Abandonment and Certificate Amendment Aspects; </w:t>
      </w:r>
    </w:p>
    <w:p>
      <w:pPr>
        <w:pStyle w:val="Footer"/>
        <w:tabs>
          <w:tab w:val="clear" w:pos="4320"/>
          <w:tab w:val="clear" w:pos="8640"/>
        </w:tabs>
        <w:ind w:firstLine="720" w:end="0"/>
        <w:rPr/>
      </w:pPr>
      <w:r>
        <w:rPr/>
      </w:r>
    </w:p>
    <w:p>
      <w:pPr>
        <w:pStyle w:val="Footer"/>
        <w:tabs>
          <w:tab w:val="clear" w:pos="4320"/>
          <w:tab w:val="clear" w:pos="8640"/>
        </w:tabs>
        <w:ind w:firstLine="720" w:end="0"/>
        <w:rPr/>
      </w:pPr>
      <w:r>
        <w:rPr/>
        <w:t xml:space="preserve">(ii) </w:t>
        <w:tab/>
        <w:t xml:space="preserve">Treatment of Proceeds, including </w:t>
      </w:r>
    </w:p>
    <w:p>
      <w:pPr>
        <w:pStyle w:val="Footer"/>
        <w:tabs>
          <w:tab w:val="clear" w:pos="4320"/>
          <w:tab w:val="clear" w:pos="8640"/>
        </w:tabs>
        <w:ind w:firstLine="720" w:end="0"/>
        <w:rPr/>
      </w:pPr>
      <w:r>
        <w:rPr/>
      </w:r>
    </w:p>
    <w:p>
      <w:pPr>
        <w:pStyle w:val="Footer"/>
        <w:tabs>
          <w:tab w:val="clear" w:pos="4320"/>
          <w:tab w:val="clear" w:pos="8640"/>
        </w:tabs>
        <w:ind w:firstLine="720" w:start="720" w:end="0"/>
        <w:rPr/>
      </w:pPr>
      <w:r>
        <w:rPr/>
        <w:t xml:space="preserve">(a) </w:t>
        <w:tab/>
        <w:t xml:space="preserve">The Historical Standard, </w:t>
      </w:r>
    </w:p>
    <w:p>
      <w:pPr>
        <w:pStyle w:val="Footer"/>
        <w:tabs>
          <w:tab w:val="clear" w:pos="4320"/>
          <w:tab w:val="clear" w:pos="8640"/>
        </w:tabs>
        <w:ind w:firstLine="720" w:start="720" w:end="0"/>
        <w:rPr/>
      </w:pPr>
      <w:r>
        <w:rPr/>
      </w:r>
    </w:p>
    <w:p>
      <w:pPr>
        <w:pStyle w:val="Footer"/>
        <w:tabs>
          <w:tab w:val="clear" w:pos="4320"/>
          <w:tab w:val="clear" w:pos="8640"/>
        </w:tabs>
        <w:ind w:firstLine="720" w:start="720" w:end="0"/>
        <w:rPr/>
      </w:pPr>
      <w:r>
        <w:rPr/>
        <w:t>(b)</w:t>
        <w:tab/>
        <w:t xml:space="preserve">The Commission’s Application of </w:t>
      </w:r>
      <w:r>
        <w:rPr>
          <w:u w:val="single"/>
        </w:rPr>
        <w:t>Democratic Central Committee,</w:t>
      </w:r>
    </w:p>
    <w:p>
      <w:pPr>
        <w:pStyle w:val="Footer"/>
        <w:tabs>
          <w:tab w:val="clear" w:pos="4320"/>
          <w:tab w:val="clear" w:pos="8640"/>
        </w:tabs>
        <w:ind w:firstLine="720" w:start="720" w:end="0"/>
        <w:rPr>
          <w:u w:val="single"/>
        </w:rPr>
      </w:pPr>
      <w:r>
        <w:rPr>
          <w:u w:val="single"/>
        </w:rPr>
      </w:r>
    </w:p>
    <w:p>
      <w:pPr>
        <w:pStyle w:val="Footer"/>
        <w:tabs>
          <w:tab w:val="clear" w:pos="4320"/>
          <w:tab w:val="clear" w:pos="8640"/>
        </w:tabs>
        <w:ind w:hanging="720" w:start="2160" w:end="0"/>
        <w:rPr/>
      </w:pPr>
      <w:r>
        <w:rPr/>
        <w:t xml:space="preserve">(c) </w:t>
        <w:tab/>
        <w:t xml:space="preserve">The Inapplicability of the Exceptional Analysis to the Current Circumstances, </w:t>
      </w:r>
    </w:p>
    <w:p>
      <w:pPr>
        <w:pStyle w:val="Footer"/>
        <w:tabs>
          <w:tab w:val="clear" w:pos="4320"/>
          <w:tab w:val="clear" w:pos="8640"/>
        </w:tabs>
        <w:ind w:hanging="720" w:start="2160" w:end="0"/>
        <w:rPr/>
      </w:pPr>
      <w:r>
        <w:rPr/>
      </w:r>
    </w:p>
    <w:p>
      <w:pPr>
        <w:pStyle w:val="Footer"/>
        <w:tabs>
          <w:tab w:val="clear" w:pos="4320"/>
          <w:tab w:val="clear" w:pos="8640"/>
        </w:tabs>
        <w:ind w:hanging="720" w:start="2160" w:end="0"/>
        <w:rPr/>
      </w:pPr>
      <w:r>
        <w:rPr/>
        <w:t xml:space="preserve">(d) </w:t>
        <w:tab/>
        <w:t xml:space="preserve">Post-Restructuring Cases Discussing Treatment of Net Proceeds from Base Gas Sales, and </w:t>
      </w:r>
    </w:p>
    <w:p>
      <w:pPr>
        <w:pStyle w:val="Footer"/>
        <w:tabs>
          <w:tab w:val="clear" w:pos="4320"/>
          <w:tab w:val="clear" w:pos="8640"/>
        </w:tabs>
        <w:ind w:hanging="720" w:start="2160" w:end="0"/>
        <w:rPr/>
      </w:pPr>
      <w:r>
        <w:rPr/>
      </w:r>
    </w:p>
    <w:p>
      <w:pPr>
        <w:pStyle w:val="Footer"/>
        <w:tabs>
          <w:tab w:val="clear" w:pos="4320"/>
          <w:tab w:val="clear" w:pos="8640"/>
        </w:tabs>
        <w:ind w:firstLine="720" w:start="720" w:end="0"/>
        <w:rPr/>
      </w:pPr>
      <w:r>
        <w:rPr/>
        <w:t xml:space="preserve">(e) </w:t>
        <w:tab/>
        <w:t xml:space="preserve">Application of the Current Standard; </w:t>
      </w:r>
    </w:p>
    <w:p>
      <w:pPr>
        <w:pStyle w:val="Footer"/>
        <w:tabs>
          <w:tab w:val="clear" w:pos="4320"/>
          <w:tab w:val="clear" w:pos="8640"/>
        </w:tabs>
        <w:ind w:firstLine="720" w:start="720" w:end="0"/>
        <w:rPr/>
      </w:pPr>
      <w:r>
        <w:rPr/>
      </w:r>
    </w:p>
    <w:p>
      <w:pPr>
        <w:pStyle w:val="Footer"/>
        <w:tabs>
          <w:tab w:val="clear" w:pos="4320"/>
          <w:tab w:val="clear" w:pos="8640"/>
        </w:tabs>
        <w:ind w:start="720" w:end="0"/>
        <w:rPr/>
      </w:pPr>
      <w:r>
        <w:rPr/>
        <w:t>(iii)</w:t>
        <w:tab/>
        <w:t xml:space="preserve">Considerations Affecting Sales to an Affiliate at Book Value; and </w:t>
      </w:r>
    </w:p>
    <w:p>
      <w:pPr>
        <w:pStyle w:val="Footer"/>
        <w:tabs>
          <w:tab w:val="clear" w:pos="4320"/>
          <w:tab w:val="clear" w:pos="8640"/>
        </w:tabs>
        <w:ind w:start="720" w:end="0"/>
        <w:rPr/>
      </w:pPr>
      <w:r>
        <w:rPr/>
      </w:r>
    </w:p>
    <w:p>
      <w:pPr>
        <w:pStyle w:val="Footer"/>
        <w:tabs>
          <w:tab w:val="clear" w:pos="4320"/>
          <w:tab w:val="clear" w:pos="8640"/>
        </w:tabs>
        <w:ind w:hanging="720" w:start="1440" w:end="0"/>
        <w:rPr/>
      </w:pPr>
      <w:r>
        <w:rPr/>
        <w:t>(iv)</w:t>
        <w:tab/>
        <w:t>Sale of Base Gas at Book Value and the Capture of  Gain Using a Service Agreement</w:t>
      </w:r>
    </w:p>
    <w:p>
      <w:pPr>
        <w:pStyle w:val="Normal"/>
        <w:rPr/>
      </w:pPr>
      <w:r>
        <w:rPr/>
      </w:r>
    </w:p>
    <w:p>
      <w:pPr>
        <w:pStyle w:val="Heading6"/>
        <w:rPr/>
      </w:pPr>
      <w:r>
        <w:rPr/>
        <w:t>Abandonment and Certificate Amendment Aspects</w:t>
      </w:r>
    </w:p>
    <w:p>
      <w:pPr>
        <w:pStyle w:val="Normal"/>
        <w:ind w:firstLine="720" w:end="0"/>
        <w:rPr/>
      </w:pPr>
      <w:r>
        <w:rPr/>
      </w:r>
    </w:p>
    <w:p>
      <w:pPr>
        <w:pStyle w:val="Normal"/>
        <w:ind w:firstLine="720" w:end="0"/>
        <w:rPr/>
      </w:pPr>
      <w:r>
        <w:rPr/>
        <w:t xml:space="preserve">Fundamentally, natural gas pipeline-owned storage is considered by the Commission to be a transportation facility.  As such, modification or abandonment of the facilities is subject to the Commission's jurisdiction under sections 7(b) and 7(c) of the NGA.  </w:t>
      </w:r>
      <w:r>
        <w:rPr>
          <w:u w:val="single"/>
        </w:rPr>
        <w:t>See generally</w:t>
      </w:r>
      <w:r>
        <w:rPr/>
        <w:t xml:space="preserve"> </w:t>
      </w:r>
      <w:r>
        <w:rPr>
          <w:u w:val="single"/>
        </w:rPr>
        <w:t>Columbia Gas Transmission Corp.</w:t>
      </w:r>
      <w:r>
        <w:rPr/>
        <w:t xml:space="preserve">, 87 FERC ¶ 61,019 (1999).  Moreover, storage facilities and related service are subject to all of the open access transportation requirements mandated by Order No. 636 </w:t>
      </w:r>
      <w:r>
        <w:rPr>
          <w:u w:val="single"/>
        </w:rPr>
        <w:t>et</w:t>
      </w:r>
      <w:r>
        <w:rPr/>
        <w:t xml:space="preserve"> </w:t>
      </w:r>
      <w:r>
        <w:rPr>
          <w:u w:val="single"/>
        </w:rPr>
        <w:t>seq</w:t>
      </w:r>
      <w:r>
        <w:rPr/>
        <w:t>. and related regulations.</w:t>
      </w:r>
      <w:r>
        <w:rPr>
          <w:rFonts w:cs="Courier" w:ascii="Courier" w:hAnsi="Courier"/>
        </w:rPr>
        <w:tab/>
      </w:r>
    </w:p>
    <w:p>
      <w:pPr>
        <w:pStyle w:val="Normal"/>
        <w:ind w:firstLine="720" w:end="0"/>
        <w:rPr>
          <w:rFonts w:ascii="Courier" w:hAnsi="Courier" w:cs="Courier"/>
        </w:rPr>
      </w:pPr>
      <w:r>
        <w:rPr>
          <w:rFonts w:cs="Courier" w:ascii="Courier" w:hAnsi="Courier"/>
        </w:rPr>
      </w:r>
    </w:p>
    <w:p>
      <w:pPr>
        <w:pStyle w:val="Normal"/>
        <w:ind w:firstLine="720" w:end="0"/>
        <w:rPr/>
      </w:pPr>
      <w:r>
        <w:rPr/>
        <w:t xml:space="preserve">Last year, the Commission held in Order No. 603-A that deliverability, capacity, and storage boundaries are the certificated "parameters" of a storage field under section 7(c) of the NGA and Part 157 of the regulations.  </w:t>
      </w:r>
      <w:r>
        <w:rPr>
          <w:u w:val="single"/>
        </w:rPr>
        <w:t>Revision of Existing Regulations Under the Natural Gas Act</w:t>
      </w:r>
      <w:r>
        <w:rPr/>
        <w:t>, Order No. 603-A, FERC Stats. &amp; Regs., Regs. Preambles [1996-2000] ¶ 31,094, at 30,922 (2000).  The Commission concluded in Order No. 603-A that pipelines are permitted to replace individual storage wells under section 2.55,</w:t>
      </w:r>
      <w:r>
        <w:rPr>
          <w:rStyle w:val="FootnoteCharacters"/>
          <w:rStyle w:val="FootnoteReference"/>
        </w:rPr>
        <w:footnoteReference w:id="2"/>
      </w:r>
      <w:r>
        <w:rPr/>
        <w:t xml:space="preserve"> provided that the well has "a substantially equivalent delivery capacity as the facility it replaced."  </w:t>
      </w:r>
      <w:r>
        <w:rPr>
          <w:u w:val="single"/>
        </w:rPr>
        <w:t>Id.</w:t>
      </w:r>
      <w:r>
        <w:rPr/>
        <w:t xml:space="preserve">  The Commission explained that a replacement well has a substantially equivalent design capacity if it does not "alter the underlying parameters of the storage field, </w:t>
      </w:r>
      <w:r>
        <w:rPr>
          <w:u w:val="single"/>
        </w:rPr>
        <w:t>i.e.</w:t>
      </w:r>
      <w:r>
        <w:rPr/>
        <w:t xml:space="preserve">, the certificated capacity, deliverability, or storage boundary, and functions in a manner similar to the well it replaced. . . ."  </w:t>
      </w:r>
      <w:r>
        <w:rPr>
          <w:u w:val="single"/>
        </w:rPr>
        <w:t>Id.</w:t>
      </w:r>
      <w:r>
        <w:rPr/>
        <w:t xml:space="preserve">  To the extent these parameters will be altered, prior certification authorization is required under section 7(c).  Accordingly, changes in operating characteristics, configuration, capacity or deliverability will require abandonment or certificate amendment. </w:t>
      </w:r>
      <w:r>
        <w:rPr>
          <w:rFonts w:cs="Courier" w:ascii="Courier" w:hAnsi="Courier"/>
        </w:rPr>
        <w:tab/>
      </w:r>
    </w:p>
    <w:p>
      <w:pPr>
        <w:pStyle w:val="Normal"/>
        <w:ind w:firstLine="720" w:end="0"/>
        <w:rPr>
          <w:b/>
        </w:rPr>
      </w:pPr>
      <w:r>
        <w:rPr>
          <w:b/>
        </w:rPr>
      </w:r>
    </w:p>
    <w:p>
      <w:pPr>
        <w:pStyle w:val="Normal"/>
        <w:ind w:firstLine="720" w:end="0"/>
        <w:rPr/>
      </w:pPr>
      <w:r>
        <w:rPr/>
        <w:t xml:space="preserve">While Order No. 603-A was intended to streamline the regulation of storage fields by allowing minor alterations without prior approval, this does not to extend to proposed alterations of the “parameters of the underlying certificate authority.”  </w:t>
      </w:r>
      <w:r>
        <w:rPr>
          <w:u w:val="single"/>
        </w:rPr>
        <w:t>Id</w:t>
      </w:r>
      <w:r>
        <w:rPr/>
        <w:t xml:space="preserve">  </w:t>
      </w:r>
    </w:p>
    <w:p>
      <w:pPr>
        <w:pStyle w:val="Normal"/>
        <w:rPr/>
      </w:pPr>
      <w:r>
        <w:rPr/>
      </w:r>
    </w:p>
    <w:p>
      <w:pPr>
        <w:pStyle w:val="Normal"/>
        <w:rPr/>
      </w:pPr>
      <w:r>
        <w:rPr/>
        <w:tab/>
        <w:t>Under Section 7 of the NGA, jurisdictional natural gas companies must obtain prior approval in the form of a certificate of public convenience and necessity pursuant to Section 7(c) before they can construct and operate jurisdictional facilities, including storage facilities.  In addition, the NGA carries the requirement that prior Commission authorization also is required to remove any facility subject to the Commission's jurisdiction from service or to discontinue or substantially reduce service provided through such facility.  Section 7(b) of the NGA provides that a natural gas company may not abandon "all or any portion of its facilities subject to the jurisdiction of the Commission, or any service rendered by means of such facilities without the permission and approval of the Commission first had obtained, after due hearing, and a finding by the Commission . . . that the present or future public convenience and necessity permit such abandonment."  15 U.S.C. § 717f(b) (1988).</w:t>
      </w:r>
      <w:r>
        <w:rPr>
          <w:rStyle w:val="FootnoteReference"/>
          <w:vertAlign w:val="superscript"/>
        </w:rPr>
        <w:footnoteReference w:id="3"/>
      </w:r>
      <w:r>
        <w:rPr/>
        <w:t xml:space="preserve">  </w:t>
      </w:r>
    </w:p>
    <w:p>
      <w:pPr>
        <w:pStyle w:val="Normal"/>
        <w:rPr/>
      </w:pPr>
      <w:r>
        <w:rPr/>
      </w:r>
    </w:p>
    <w:p>
      <w:pPr>
        <w:pStyle w:val="Normal"/>
        <w:rPr/>
      </w:pPr>
      <w:r>
        <w:rPr/>
        <w:tab/>
        <w:t xml:space="preserve">Abandonment is authorized under section 7(b) upon the Commission's finding that the applicant has shown either that: </w:t>
      </w:r>
    </w:p>
    <w:p>
      <w:pPr>
        <w:pStyle w:val="Normal"/>
        <w:rPr/>
      </w:pPr>
      <w:r>
        <w:rPr/>
      </w:r>
    </w:p>
    <w:p>
      <w:pPr>
        <w:pStyle w:val="Normal"/>
        <w:tabs>
          <w:tab w:val="left" w:pos="720" w:leader="none"/>
          <w:tab w:val="left" w:pos="1440" w:leader="none"/>
          <w:tab w:val="left" w:pos="2160" w:leader="none"/>
        </w:tabs>
        <w:ind w:hanging="720" w:start="2160" w:end="0"/>
        <w:rPr/>
      </w:pPr>
      <w:r>
        <w:rPr/>
        <w:t>(1)</w:t>
        <w:tab/>
        <w:t xml:space="preserve">"[T]he available supply of natural gas is depleted to the extent that the continuance of service is unwarranted;" </w:t>
      </w:r>
      <w:r>
        <w:rPr>
          <w:u w:val="single"/>
        </w:rPr>
        <w:t>or</w:t>
      </w:r>
      <w:r>
        <w:rPr/>
        <w:t xml:space="preserve"> </w:t>
      </w:r>
    </w:p>
    <w:p>
      <w:pPr>
        <w:pStyle w:val="Normal"/>
        <w:tabs>
          <w:tab w:val="left" w:pos="720" w:leader="none"/>
          <w:tab w:val="left" w:pos="1440" w:leader="none"/>
          <w:tab w:val="left" w:pos="2160" w:leader="none"/>
        </w:tabs>
        <w:ind w:hanging="720" w:start="2160" w:end="0"/>
        <w:rPr/>
      </w:pPr>
      <w:r>
        <w:rPr/>
      </w:r>
    </w:p>
    <w:p>
      <w:pPr>
        <w:pStyle w:val="Normal"/>
        <w:tabs>
          <w:tab w:val="left" w:pos="720" w:leader="none"/>
          <w:tab w:val="left" w:pos="1440" w:leader="none"/>
          <w:tab w:val="left" w:pos="2160" w:leader="none"/>
        </w:tabs>
        <w:ind w:hanging="720" w:start="2160" w:end="0"/>
        <w:rPr/>
      </w:pPr>
      <w:r>
        <w:rPr/>
        <w:t>(2)</w:t>
        <w:tab/>
        <w:t xml:space="preserve">"[T]he present or future public convenience and necessity permits such abandonment."  </w:t>
      </w:r>
    </w:p>
    <w:p>
      <w:pPr>
        <w:pStyle w:val="Normal"/>
        <w:tabs>
          <w:tab w:val="left" w:pos="720" w:leader="none"/>
          <w:tab w:val="left" w:pos="1440" w:leader="none"/>
          <w:tab w:val="left" w:pos="2160" w:leader="none"/>
        </w:tabs>
        <w:ind w:hanging="720" w:start="2160" w:end="0"/>
        <w:rPr/>
      </w:pPr>
      <w:r>
        <w:rPr/>
      </w:r>
    </w:p>
    <w:p>
      <w:pPr>
        <w:pStyle w:val="Normal"/>
        <w:rPr/>
      </w:pPr>
      <w:r>
        <w:rPr/>
        <w:t xml:space="preserve">15 U.S.C. § 717f(b) (1988). </w:t>
      </w:r>
    </w:p>
    <w:p>
      <w:pPr>
        <w:pStyle w:val="Normal"/>
        <w:rPr/>
      </w:pPr>
      <w:r>
        <w:rPr/>
      </w:r>
    </w:p>
    <w:p>
      <w:pPr>
        <w:pStyle w:val="Normal"/>
        <w:rPr/>
      </w:pPr>
      <w:r>
        <w:rPr/>
        <w:tab/>
        <w:t xml:space="preserve">The facilities covered by section 7(b) "are those facilities required for the interstate transportation of natural gas and for the interstate sale of gas for resale to the ultimate consumer."  </w:t>
      </w:r>
      <w:r>
        <w:rPr>
          <w:u w:val="single"/>
        </w:rPr>
        <w:t>United Gas Pipe Line Co. v. FPC</w:t>
      </w:r>
      <w:r>
        <w:rPr/>
        <w:t xml:space="preserve">, 385 U.S. 83, 87 (1966).  As previously noted, the Commission has held that the term "transportation" includes "storage".  In any event, the services provided through jurisdictional facilities may not be terminated or substantially modified without the receipt of section 7(b) abandonment authority.  385 U.S. at 87; </w:t>
      </w:r>
      <w:r>
        <w:rPr>
          <w:u w:val="single"/>
        </w:rPr>
        <w:t>Reynolds Metal Co. v. FPC</w:t>
      </w:r>
      <w:r>
        <w:rPr/>
        <w:t>, 534 F.2d 379, 384 (D.C. Cir. 1976).</w:t>
      </w:r>
    </w:p>
    <w:p>
      <w:pPr>
        <w:pStyle w:val="Normal"/>
        <w:rPr/>
      </w:pPr>
      <w:r>
        <w:rPr/>
      </w:r>
    </w:p>
    <w:p>
      <w:pPr>
        <w:pStyle w:val="Normal"/>
        <w:rPr/>
      </w:pPr>
      <w:r>
        <w:rPr/>
        <w:tab/>
        <w:t>The following two principles are applied by the Commission under the public interest standard of section 7(b):</w:t>
      </w:r>
    </w:p>
    <w:p>
      <w:pPr>
        <w:pStyle w:val="Normal"/>
        <w:rPr/>
      </w:pPr>
      <w:r>
        <w:rPr/>
      </w:r>
    </w:p>
    <w:p>
      <w:pPr>
        <w:pStyle w:val="Normal"/>
        <w:tabs>
          <w:tab w:val="left" w:pos="720" w:leader="none"/>
          <w:tab w:val="left" w:pos="1440" w:leader="none"/>
          <w:tab w:val="left" w:pos="2160" w:leader="none"/>
        </w:tabs>
        <w:ind w:hanging="720" w:start="2160" w:end="0"/>
        <w:rPr/>
      </w:pPr>
      <w:r>
        <w:rPr/>
        <w:t>(1)</w:t>
        <w:tab/>
        <w:t>"[A] pipeline which is serving a particular market pursuant to a certificate of public convenience and necessity has an obligation to continue that service;" and</w:t>
      </w:r>
    </w:p>
    <w:p>
      <w:pPr>
        <w:pStyle w:val="Normal"/>
        <w:tabs>
          <w:tab w:val="left" w:pos="720" w:leader="none"/>
          <w:tab w:val="left" w:pos="1440" w:leader="none"/>
          <w:tab w:val="left" w:pos="2160" w:leader="none"/>
        </w:tabs>
        <w:ind w:hanging="720" w:start="2160" w:end="0"/>
        <w:rPr/>
      </w:pPr>
      <w:r>
        <w:rPr/>
      </w:r>
    </w:p>
    <w:p>
      <w:pPr>
        <w:pStyle w:val="Normal"/>
        <w:tabs>
          <w:tab w:val="left" w:pos="720" w:leader="none"/>
          <w:tab w:val="left" w:pos="1440" w:leader="none"/>
          <w:tab w:val="left" w:pos="2160" w:leader="none"/>
        </w:tabs>
        <w:ind w:hanging="720" w:start="2160" w:end="0"/>
        <w:rPr/>
      </w:pPr>
      <w:r>
        <w:rPr/>
        <w:t>(2)</w:t>
        <w:tab/>
        <w:t xml:space="preserve">"[T]he burden of proof is on the applicant to show that the public convenience and necessity permits abandonment."  </w:t>
      </w:r>
    </w:p>
    <w:p>
      <w:pPr>
        <w:pStyle w:val="Normal"/>
        <w:tabs>
          <w:tab w:val="left" w:pos="720" w:leader="none"/>
          <w:tab w:val="left" w:pos="1440" w:leader="none"/>
          <w:tab w:val="left" w:pos="2160" w:leader="none"/>
        </w:tabs>
        <w:ind w:hanging="720" w:start="2160" w:end="0"/>
        <w:rPr/>
      </w:pPr>
      <w:r>
        <w:rPr/>
      </w:r>
    </w:p>
    <w:p>
      <w:pPr>
        <w:pStyle w:val="Normal"/>
        <w:rPr/>
      </w:pPr>
      <w:r>
        <w:rPr>
          <w:u w:val="single"/>
        </w:rPr>
        <w:t>Steve Bowman, et al. v. Columbia Gas Transmission Corp.</w:t>
      </w:r>
      <w:r>
        <w:rPr/>
        <w:t xml:space="preserve">, Opinion No. 232, 31 FERC ¶ 61,185, at 61,364, </w:t>
      </w:r>
      <w:r>
        <w:rPr>
          <w:u w:val="single"/>
        </w:rPr>
        <w:t>reh'g denied</w:t>
      </w:r>
      <w:r>
        <w:rPr/>
        <w:t xml:space="preserve">, Opinion No. 232-A, 32 FERC ¶ 61,075 (1985) (citing </w:t>
      </w:r>
      <w:r>
        <w:rPr>
          <w:u w:val="single"/>
        </w:rPr>
        <w:t>Michigan Consolidated Gas Co. v. FPC</w:t>
      </w:r>
      <w:r>
        <w:rPr/>
        <w:t xml:space="preserve">, 283 F.2d 204, 214 (D.C. Cir.), </w:t>
      </w:r>
      <w:r>
        <w:rPr>
          <w:u w:val="single"/>
        </w:rPr>
        <w:t>cert. denied</w:t>
      </w:r>
      <w:r>
        <w:rPr/>
        <w:t xml:space="preserve">, 364 U.S. 913 (1960); </w:t>
      </w:r>
      <w:r>
        <w:rPr>
          <w:u w:val="single"/>
        </w:rPr>
        <w:t>Transcontinental Gas Pipe Line Corp. v. FPC</w:t>
      </w:r>
      <w:r>
        <w:rPr/>
        <w:t xml:space="preserve">, 488 F.2d 1325 (D.C. Cir. 1973), </w:t>
      </w:r>
      <w:r>
        <w:rPr>
          <w:u w:val="single"/>
        </w:rPr>
        <w:t>cert. denied</w:t>
      </w:r>
      <w:r>
        <w:rPr/>
        <w:t xml:space="preserve">, 417 U.S. 921 (1974); </w:t>
      </w:r>
      <w:r>
        <w:rPr>
          <w:u w:val="single"/>
        </w:rPr>
        <w:t>Columbia Gas Transmission Corp. v. FPC</w:t>
      </w:r>
      <w:r>
        <w:rPr/>
        <w:t xml:space="preserve">, 530 F.2d 1056 (D.C. Cir. 1976)).  </w:t>
      </w:r>
    </w:p>
    <w:p>
      <w:pPr>
        <w:pStyle w:val="Normal"/>
        <w:rPr/>
      </w:pPr>
      <w:r>
        <w:rPr/>
      </w:r>
    </w:p>
    <w:p>
      <w:pPr>
        <w:pStyle w:val="Normal"/>
        <w:rPr/>
      </w:pPr>
      <w:r>
        <w:rPr/>
        <w:tab/>
        <w:t xml:space="preserve">Regarding the first of these two principles, the federal courts have consistently held that section 7 of the NGA "creates a continuing regulatory obligation, irrespective of private contractual arrangements, not to abandon any certificated [service] obligations before obtaining authorization from the Commission to do so."  </w:t>
      </w:r>
      <w:r>
        <w:rPr>
          <w:u w:val="single"/>
        </w:rPr>
        <w:t>Panhandle Eastern Pipe Line Co. v. FERC</w:t>
      </w:r>
      <w:r>
        <w:rPr/>
        <w:t xml:space="preserve">, 803 F.2d 726, 728 (D.C. Cir. 1986) (citing </w:t>
      </w:r>
      <w:r>
        <w:rPr>
          <w:u w:val="single"/>
        </w:rPr>
        <w:t>United Gas Pipe Line Co. v. McCombs</w:t>
      </w:r>
      <w:r>
        <w:rPr/>
        <w:t xml:space="preserve">, 442 U.S. 529 (1979); </w:t>
      </w:r>
      <w:r>
        <w:rPr>
          <w:u w:val="single"/>
        </w:rPr>
        <w:t>California v. Southland Royalty Co.</w:t>
      </w:r>
      <w:r>
        <w:rPr/>
        <w:t xml:space="preserve">, 436 U.S. 519, 525 (1978)).  The existence of a "service obligation" has been held to be dispositive of whether abandonment authorization must be sought under section 7(b) in order to discontinue service in cases where the underlying service contract has been terminated.  </w:t>
      </w:r>
      <w:r>
        <w:rPr>
          <w:u w:val="single"/>
        </w:rPr>
        <w:t>See</w:t>
      </w:r>
      <w:r>
        <w:rPr/>
        <w:t xml:space="preserve">, </w:t>
      </w:r>
      <w:r>
        <w:rPr>
          <w:u w:val="single"/>
        </w:rPr>
        <w:t>e.g.</w:t>
      </w:r>
      <w:r>
        <w:rPr/>
        <w:t xml:space="preserve">, </w:t>
      </w:r>
      <w:r>
        <w:rPr>
          <w:u w:val="single"/>
        </w:rPr>
        <w:t>United Gas Pipeline Co. v. FPC</w:t>
      </w:r>
      <w:r>
        <w:rPr/>
        <w:t xml:space="preserve">, 385 U.S. 83 (1966); </w:t>
      </w:r>
      <w:r>
        <w:rPr>
          <w:u w:val="single"/>
        </w:rPr>
        <w:t>United Gas Pipe Line Co. v. McCombs</w:t>
      </w:r>
      <w:r>
        <w:rPr/>
        <w:t xml:space="preserve">, 442 U.S. 529 (1979); </w:t>
      </w:r>
      <w:r>
        <w:rPr>
          <w:u w:val="single"/>
        </w:rPr>
        <w:t>California v. Southland Royalty Co.</w:t>
      </w:r>
      <w:r>
        <w:rPr/>
        <w:t xml:space="preserve">, 436 U.S. 519 (1978); </w:t>
      </w:r>
      <w:r>
        <w:rPr>
          <w:u w:val="single"/>
        </w:rPr>
        <w:t>Panhandle Eastern Pipe Line Co. v. FERC</w:t>
      </w:r>
      <w:r>
        <w:rPr/>
        <w:t>, 803 F.2d 726 (D.C. Cir. 1986).</w:t>
      </w:r>
      <w:r>
        <w:rPr>
          <w:rStyle w:val="FootnoteReference"/>
          <w:vertAlign w:val="superscript"/>
        </w:rPr>
        <w:footnoteReference w:id="4"/>
      </w:r>
      <w:r>
        <w:rPr/>
        <w:t xml:space="preserve">  </w:t>
      </w:r>
    </w:p>
    <w:p>
      <w:pPr>
        <w:pStyle w:val="Normal"/>
        <w:rPr/>
      </w:pPr>
      <w:r>
        <w:rPr/>
      </w:r>
    </w:p>
    <w:p>
      <w:pPr>
        <w:pStyle w:val="Normal"/>
        <w:ind w:firstLine="720" w:end="0"/>
        <w:rPr/>
      </w:pPr>
      <w:r>
        <w:rPr/>
        <w:t xml:space="preserve">For the most part, service abandonments are not a problem in the post-Order 636 era.  Interstate pipelines now provide only transportation (and storage) services.  As a practical matter, they no longer make sales for resale.  In Order No. 636, the Commission granted automatic abandonment authorization at the expiration of transportation service agreements. </w:t>
      </w:r>
      <w:r>
        <w:rPr>
          <w:u w:val="single"/>
        </w:rPr>
        <w:t>Pipeline Service Obligations and Revisions to Regulations Governing Self-Implementing Transportation; and Regulation of Natural Gas Pipelines After Wellhead Decontrol</w:t>
      </w:r>
      <w:r>
        <w:rPr/>
        <w:t>, Order No. 636, FERC Stats. &amp; Regs., Regs. Preambles [1991-1996]  ¶ 30,939, at 30,445 (1992).</w:t>
      </w:r>
    </w:p>
    <w:p>
      <w:pPr>
        <w:pStyle w:val="Normal"/>
        <w:rPr/>
      </w:pPr>
      <w:r>
        <w:rPr/>
      </w:r>
    </w:p>
    <w:p>
      <w:pPr>
        <w:pStyle w:val="Normal"/>
        <w:rPr/>
      </w:pPr>
      <w:r>
        <w:rPr/>
        <w:tab/>
        <w:t xml:space="preserve">With respect to the second principle, the D.C. Circuit held in that "[a]n applicant for abandonment under § 7(b) of the Act has the burden of making the factual showing which will assure the Commission, charged with protecting the public interest, that that interest will in no way be disserved . . . ."  </w:t>
      </w:r>
      <w:r>
        <w:rPr>
          <w:u w:val="single"/>
        </w:rPr>
        <w:t>Michigan Consolidated Gas Co. v. FPC</w:t>
      </w:r>
      <w:r>
        <w:rPr/>
        <w:t xml:space="preserve">, 283 F.2d 204, 214 (D.C. Cir.), </w:t>
      </w:r>
      <w:r>
        <w:rPr>
          <w:u w:val="single"/>
        </w:rPr>
        <w:t>cert. denied</w:t>
      </w:r>
      <w:r>
        <w:rPr/>
        <w:t xml:space="preserve">, 364 U.S. 913 (1960).  The court later held that in determining whether an applicant had met its burden of proof, "all factors relevant to the determination of which course of action best promotes the overall public interest must be fully considered."  </w:t>
      </w:r>
      <w:r>
        <w:rPr>
          <w:u w:val="single"/>
        </w:rPr>
        <w:t>Transcontinental Gas Pipeline Corp. v. FPC</w:t>
      </w:r>
      <w:r>
        <w:rPr/>
        <w:t xml:space="preserve">, 488 F.2d 1325, 1328 (D.C. Cir. 1973), </w:t>
      </w:r>
      <w:r>
        <w:rPr>
          <w:u w:val="single"/>
        </w:rPr>
        <w:t>cert. denied</w:t>
      </w:r>
      <w:r>
        <w:rPr/>
        <w:t>, 417 U.S. 921 (1974).  The nature and extent of the showing required of an applicant to meet the public interest standard is determined by the facts presented in each individual case and whether the abandonment proposal is opposed.</w:t>
      </w:r>
    </w:p>
    <w:p>
      <w:pPr>
        <w:pStyle w:val="Normal"/>
        <w:rPr/>
      </w:pPr>
      <w:r>
        <w:rPr/>
      </w:r>
    </w:p>
    <w:p>
      <w:pPr>
        <w:pStyle w:val="Normal"/>
        <w:ind w:firstLine="720" w:end="0"/>
        <w:rPr>
          <w:b/>
          <w:i/>
          <w:i/>
        </w:rPr>
      </w:pPr>
      <w:r>
        <w:rPr/>
        <w:t>An interstate pipeline would seem to have a high evidentiary burden to demonstrate that storage facilities no longer are needed under the "public convenience and necessity" standard of the NGA. This is particularly so in the current environment in which the Commission attaches a real premium to the continuing operation of storage fields and, particularly, to market area storage fields which assist in meeting peak requirements.  A functional substitute for a storage field certainly would assist in demonstrating the absence of inconsistency between abandonment and the public convenience and necessity.  However, any such proposal would have to be able to withstand challenge from shippers and marketers that rely on storage capacity to conduct their doing business on the interstate pipeline.</w:t>
      </w:r>
    </w:p>
    <w:p>
      <w:pPr>
        <w:pStyle w:val="Normal"/>
        <w:rPr>
          <w:b/>
          <w:i/>
          <w:i/>
        </w:rPr>
      </w:pPr>
      <w:r>
        <w:rPr>
          <w:b/>
          <w:i/>
        </w:rPr>
      </w:r>
      <w:r>
        <w:br w:type="page"/>
      </w:r>
    </w:p>
    <w:p>
      <w:pPr>
        <w:pStyle w:val="Heading5"/>
        <w:ind w:hanging="0" w:start="0"/>
        <w:rPr/>
      </w:pPr>
      <w:r>
        <w:rPr/>
        <w:tab/>
        <w:t>Treatment of Proceeds</w:t>
      </w:r>
    </w:p>
    <w:p>
      <w:pPr>
        <w:pStyle w:val="Normal"/>
        <w:rPr>
          <w:u w:val="single"/>
        </w:rPr>
      </w:pPr>
      <w:r>
        <w:rPr>
          <w:u w:val="single"/>
        </w:rPr>
      </w:r>
    </w:p>
    <w:p>
      <w:pPr>
        <w:pStyle w:val="Heading2"/>
        <w:ind w:hanging="0" w:start="720" w:end="0"/>
        <w:rPr/>
      </w:pPr>
      <w:r>
        <w:rPr/>
        <w:t>Overview</w:t>
      </w:r>
    </w:p>
    <w:p>
      <w:pPr>
        <w:pStyle w:val="Normal"/>
        <w:ind w:firstLine="720" w:end="0"/>
        <w:rPr>
          <w:u w:val="single"/>
        </w:rPr>
      </w:pPr>
      <w:r>
        <w:rPr>
          <w:u w:val="single"/>
        </w:rPr>
      </w:r>
    </w:p>
    <w:p>
      <w:pPr>
        <w:pStyle w:val="Normal"/>
        <w:ind w:firstLine="720" w:end="0"/>
        <w:rPr/>
      </w:pPr>
      <w:r>
        <w:rPr/>
        <w:t xml:space="preserve">The Commission’s general rule regarding retention of the proceeds from the sale of pipeline assets is based on the conclusions of  </w:t>
      </w:r>
      <w:r>
        <w:rPr>
          <w:u w:val="single"/>
        </w:rPr>
        <w:t>Democratic Central Comm. of D.C. v. Washington Metro. Area Transit Comm'n</w:t>
      </w:r>
      <w:r>
        <w:rPr/>
        <w:t>, 485 F.2d 786, 806 (D.C. Cir. 1975) that "the right to capital gains on utility assets is tied to the risk of capital losses" with due consideration also to whether the pipeline or its customers have borne the financial burdens associated with the asset during its operational history.  The Commission’s application of that general rule, in fact, applies a rebuttable presumption that a pipeline will be permitted to retain gain on the sale of an asset.  We believe that rule applies to the sale of base gas, notwithstanding the fact that a number of Commission decisions did not permit pipelines to retain the gain on the sale of gas from storage. As detailed below, the cases in which pipelines were precluded from retaining the gain on the sale of storage gas have been confined to a particular context, which is not germane to the current circumstances.  Accordingly, rather than applying the exceptional analysis of that line of cases, the more general rule should be applied.  Following is a brief historical background on the development of the standards applied to retention of gain.</w:t>
      </w:r>
    </w:p>
    <w:p>
      <w:pPr>
        <w:pStyle w:val="Normal"/>
        <w:ind w:firstLine="720" w:end="0"/>
        <w:rPr/>
      </w:pPr>
      <w:r>
        <w:rPr/>
      </w:r>
    </w:p>
    <w:p>
      <w:pPr>
        <w:pStyle w:val="Heading2"/>
        <w:ind w:hanging="0" w:start="720" w:end="0"/>
        <w:rPr/>
      </w:pPr>
      <w:r>
        <w:rPr/>
        <w:t>The Historical Standard</w:t>
      </w:r>
    </w:p>
    <w:p>
      <w:pPr>
        <w:pStyle w:val="Footer"/>
        <w:tabs>
          <w:tab w:val="clear" w:pos="4320"/>
          <w:tab w:val="clear" w:pos="8640"/>
        </w:tabs>
        <w:rPr/>
      </w:pPr>
      <w:r>
        <w:rPr/>
      </w:r>
    </w:p>
    <w:p>
      <w:pPr>
        <w:pStyle w:val="Normal"/>
        <w:rPr/>
      </w:pPr>
      <w:r>
        <w:rPr/>
        <w:tab/>
        <w:t>Historically, regulatory commissions developed a variety of approaches to whether a utility’s investors could retain net proceeds from the sales of utility assets.  For purposes of the present analysis, the most favorable articulation of a standard was that:</w:t>
      </w:r>
    </w:p>
    <w:p>
      <w:pPr>
        <w:pStyle w:val="Normal"/>
        <w:jc w:val="both"/>
        <w:rPr/>
      </w:pPr>
      <w:r>
        <w:rPr/>
      </w:r>
    </w:p>
    <w:p>
      <w:pPr>
        <w:pStyle w:val="Normal"/>
        <w:ind w:start="1440" w:end="1440"/>
        <w:jc w:val="both"/>
        <w:rPr/>
      </w:pPr>
      <w:r>
        <w:rPr/>
        <w:t>Customers pay for service, not for the property used to render it. Their payments are not contributions to depreciation or other operating expenses or to capital of the company. By paying bills for service they do not acquire any interest, legal or equitable, in the property used for their convenience or in the funds of the company.</w:t>
      </w:r>
    </w:p>
    <w:p>
      <w:pPr>
        <w:pStyle w:val="Normal"/>
        <w:ind w:end="1440"/>
        <w:jc w:val="both"/>
        <w:rPr/>
      </w:pPr>
      <w:r>
        <w:rPr/>
      </w:r>
    </w:p>
    <w:p>
      <w:pPr>
        <w:pStyle w:val="Normal"/>
        <w:spacing w:before="120" w:after="0"/>
        <w:jc w:val="both"/>
        <w:rPr/>
      </w:pPr>
      <w:r>
        <w:rPr>
          <w:u w:val="single"/>
        </w:rPr>
        <w:t>Board of Public Utility Comm'rs v. New York Tel. Co.</w:t>
      </w:r>
      <w:r>
        <w:rPr/>
        <w:t>, 271 U.S. 23, 32, 70 L. Ed. 808, 46 S. Ct. 363 (1926).</w:t>
      </w:r>
    </w:p>
    <w:p>
      <w:pPr>
        <w:pStyle w:val="Normal"/>
        <w:rPr/>
      </w:pPr>
      <w:r>
        <w:rPr/>
      </w:r>
    </w:p>
    <w:p>
      <w:pPr>
        <w:pStyle w:val="Normal"/>
        <w:rPr/>
      </w:pPr>
      <w:r>
        <w:rPr/>
        <w:tab/>
      </w:r>
      <w:r>
        <w:rPr>
          <w:u w:val="single"/>
        </w:rPr>
        <w:t>The Commission’s Application of Democratic Central Committee</w:t>
      </w:r>
    </w:p>
    <w:p>
      <w:pPr>
        <w:pStyle w:val="Normal"/>
        <w:rPr>
          <w:u w:val="single"/>
        </w:rPr>
      </w:pPr>
      <w:r>
        <w:rPr>
          <w:u w:val="single"/>
        </w:rPr>
      </w:r>
    </w:p>
    <w:p>
      <w:pPr>
        <w:pStyle w:val="Normal"/>
        <w:ind w:firstLine="720" w:end="0"/>
        <w:rPr/>
      </w:pPr>
      <w:r>
        <w:rPr/>
        <w:t xml:space="preserve"> </w:t>
      </w:r>
      <w:r>
        <w:rPr/>
        <w:t xml:space="preserve">The historical standard was rejected in </w:t>
      </w:r>
      <w:r>
        <w:rPr>
          <w:u w:val="single"/>
        </w:rPr>
        <w:t>Democratic Central Committee</w:t>
      </w:r>
      <w:r>
        <w:rPr/>
        <w:t xml:space="preserve"> in favor of one in which the right to capital gains on utility assets is tied to the risk of capital losses, and gain follows the financial burdens of the asset.  </w:t>
      </w:r>
      <w:r>
        <w:rPr>
          <w:u w:val="single"/>
        </w:rPr>
        <w:t>See also</w:t>
      </w:r>
      <w:r>
        <w:rPr/>
        <w:t xml:space="preserve"> </w:t>
      </w:r>
      <w:r>
        <w:rPr>
          <w:u w:val="single"/>
        </w:rPr>
        <w:t>Duke Power Co.</w:t>
      </w:r>
      <w:r>
        <w:rPr/>
        <w:t xml:space="preserve">, 48 FPC 1384, 1394-95 (1972) (applying  </w:t>
      </w:r>
      <w:r>
        <w:rPr>
          <w:u w:val="single"/>
        </w:rPr>
        <w:t>New York Tel.</w:t>
      </w:r>
      <w:r>
        <w:rPr/>
        <w:t xml:space="preserve"> to non-depreciable property), </w:t>
      </w:r>
      <w:r>
        <w:rPr>
          <w:u w:val="single"/>
        </w:rPr>
        <w:t>reh’g denied</w:t>
      </w:r>
      <w:r>
        <w:rPr/>
        <w:t xml:space="preserve"> 49 FPC 406 (1973).  </w:t>
      </w:r>
      <w:r>
        <w:rPr>
          <w:u w:val="single"/>
        </w:rPr>
        <w:t>See also</w:t>
      </w:r>
      <w:r>
        <w:rPr/>
        <w:t xml:space="preserve">, </w:t>
      </w:r>
      <w:r>
        <w:rPr>
          <w:u w:val="single"/>
        </w:rPr>
        <w:t>East Tennessee Natural Gas Co.</w:t>
      </w:r>
      <w:r>
        <w:rPr/>
        <w:t xml:space="preserve">, 75 FERC ¶ 61,110 at 61,369 (1996);  </w:t>
      </w:r>
      <w:r>
        <w:rPr>
          <w:u w:val="single"/>
        </w:rPr>
        <w:t>Southern Co. Servs., Inc., et al.</w:t>
      </w:r>
      <w:r>
        <w:rPr/>
        <w:t xml:space="preserve">, 69 FERC ¶ 61,437 at 62,560 (1994); </w:t>
      </w:r>
      <w:r>
        <w:rPr>
          <w:u w:val="single"/>
        </w:rPr>
        <w:t>Florida Gas Transmission Co</w:t>
      </w:r>
      <w:r>
        <w:rPr/>
        <w:t xml:space="preserve">., Opinion No. 144, 20 FERC ¶ 61,298 at 61,581 (1982), </w:t>
      </w:r>
      <w:r>
        <w:rPr>
          <w:u w:val="single"/>
        </w:rPr>
        <w:t>reh’g denied</w:t>
      </w:r>
      <w:r>
        <w:rPr/>
        <w:t xml:space="preserve">, Opinion No. 144-A, 24 FERC ¶ 61,005 at 61,030 (1983); </w:t>
      </w:r>
      <w:r>
        <w:rPr>
          <w:u w:val="single"/>
        </w:rPr>
        <w:t>Accounting Treatment to Account for Gains and Losses on the Disposition of Utility Property That Had Been Classified in Utility Service and Consolidation of Certain Depreciation Accounts</w:t>
      </w:r>
      <w:r>
        <w:rPr/>
        <w:t>, Order No. 473, 49 FPC 390 at 391 (1973).</w:t>
      </w:r>
      <w:r>
        <w:rPr>
          <w:rStyle w:val="FootnoteCharacters"/>
          <w:rStyle w:val="FootnoteReference"/>
        </w:rPr>
        <w:footnoteReference w:id="5"/>
      </w:r>
      <w:r>
        <w:rPr/>
        <w:t xml:space="preserve"> </w:t>
      </w:r>
    </w:p>
    <w:p>
      <w:pPr>
        <w:pStyle w:val="Normal"/>
        <w:rPr/>
      </w:pPr>
      <w:r>
        <w:rPr/>
      </w:r>
    </w:p>
    <w:p>
      <w:pPr>
        <w:pStyle w:val="Normal"/>
        <w:rPr/>
      </w:pPr>
      <w:r>
        <w:rPr/>
        <w:tab/>
        <w:t xml:space="preserve">Although it is frequently stated as if the Commission’s current standard is neutral, in fact, the Commission has applied </w:t>
      </w:r>
      <w:r>
        <w:rPr>
          <w:u w:val="single"/>
        </w:rPr>
        <w:t>Democratic Central Committee</w:t>
      </w:r>
      <w:r>
        <w:rPr/>
        <w:t>, to create a rebuttable presumption in favor of retention of net proceeds.  The Commission’s Uniform System of Accounts is consistent with these principles, providing that gains or losses on the sale of an “operating unit or system” are to be recorded in “below-the-line” accounts, Account 421.1, Gain on Disposition of Property, or Account 421.2, Loss on Disposition of Property, “[u]nless otherwise required by the Commission.” 18 C.F.R. Part 201, Gas Plant Instruction No. 5(F) (1997).</w:t>
      </w:r>
      <w:r>
        <w:rPr>
          <w:rStyle w:val="FootnoteCharacters"/>
          <w:rStyle w:val="FootnoteReference"/>
        </w:rPr>
        <w:footnoteReference w:id="6"/>
      </w:r>
      <w:r>
        <w:rPr/>
        <w:t xml:space="preserve"> </w:t>
      </w:r>
      <w:r>
        <w:rPr>
          <w:u w:val="single"/>
        </w:rPr>
        <w:t>See</w:t>
      </w:r>
      <w:r>
        <w:rPr/>
        <w:t xml:space="preserve"> </w:t>
      </w:r>
      <w:r>
        <w:rPr>
          <w:u w:val="single"/>
        </w:rPr>
        <w:t>e.g.</w:t>
      </w:r>
      <w:r>
        <w:rPr/>
        <w:t xml:space="preserve">, </w:t>
      </w:r>
      <w:r>
        <w:rPr>
          <w:u w:val="single"/>
        </w:rPr>
        <w:t>Panhandle Eastern Pipe Line Co.</w:t>
      </w:r>
      <w:r>
        <w:rPr/>
        <w:t xml:space="preserve">, 59 FERC ¶ 61,047 at 61,210 n.4 (1992); </w:t>
      </w:r>
      <w:r>
        <w:rPr>
          <w:u w:val="single"/>
        </w:rPr>
        <w:t>El Paso Natural Gas Co.</w:t>
      </w:r>
      <w:r>
        <w:rPr/>
        <w:t xml:space="preserve">, 46 FERC ¶ 61,358 at 62,098 n.4, </w:t>
      </w:r>
      <w:r>
        <w:rPr>
          <w:u w:val="single"/>
        </w:rPr>
        <w:t>reh’g denied</w:t>
      </w:r>
      <w:r>
        <w:rPr/>
        <w:t xml:space="preserve"> 49 FERC ¶ 61,360 (1989); Opinion No. 144, 20 FERC at 61,580.  The Commission explained in Opinion No. 144-A that:</w:t>
      </w:r>
    </w:p>
    <w:p>
      <w:pPr>
        <w:pStyle w:val="Normal"/>
        <w:rPr/>
      </w:pPr>
      <w:r>
        <w:rPr/>
      </w:r>
    </w:p>
    <w:p>
      <w:pPr>
        <w:pStyle w:val="BlockText"/>
        <w:rPr/>
      </w:pPr>
      <w:r>
        <w:rPr/>
        <w:t xml:space="preserve">The accounting regulations are also fully consistent with the relative responsibility of the ratepayers and the shareholders under regulation for the costs of a facility.  </w:t>
      </w:r>
      <w:r>
        <w:rPr>
          <w:u w:val="single"/>
        </w:rPr>
        <w:t>Under the accounting regulations, the realization of a gain or a loss on the sale of operating facilities, relative to the depreciated original cost of those facilities, is without significance to ratepayers</w:t>
      </w:r>
      <w:r>
        <w:rPr/>
        <w:t xml:space="preserve"> . . . Our accounting regulations properly reflect different judgments concerning the relative interests of ratepayers and shareholders in the sale of operating facilities.</w:t>
      </w:r>
    </w:p>
    <w:p>
      <w:pPr>
        <w:pStyle w:val="Footer"/>
        <w:tabs>
          <w:tab w:val="clear" w:pos="4320"/>
          <w:tab w:val="clear" w:pos="8640"/>
        </w:tabs>
        <w:rPr/>
      </w:pPr>
      <w:r>
        <w:rPr/>
      </w:r>
    </w:p>
    <w:p>
      <w:pPr>
        <w:pStyle w:val="Normal"/>
        <w:rPr/>
      </w:pPr>
      <w:r>
        <w:rPr/>
        <w:t>24 FERC at 61,030 (emphasis supplied).</w:t>
      </w:r>
    </w:p>
    <w:p>
      <w:pPr>
        <w:pStyle w:val="Heading2"/>
        <w:rPr/>
      </w:pPr>
      <w:r>
        <w:rPr/>
      </w:r>
    </w:p>
    <w:p>
      <w:pPr>
        <w:pStyle w:val="Heading2"/>
        <w:ind w:hanging="0" w:start="720" w:end="0"/>
        <w:rPr/>
      </w:pPr>
      <w:r>
        <w:rPr/>
        <w:t>The Inapplicability of the Exceptional Analysis to the Current Circumstances</w:t>
      </w:r>
    </w:p>
    <w:p>
      <w:pPr>
        <w:pStyle w:val="Normal"/>
        <w:rPr/>
      </w:pPr>
      <w:r>
        <w:rPr/>
      </w:r>
    </w:p>
    <w:p>
      <w:pPr>
        <w:pStyle w:val="Normal"/>
        <w:ind w:firstLine="720" w:end="0"/>
        <w:rPr/>
      </w:pPr>
      <w:r>
        <w:rPr/>
        <w:t xml:space="preserve">During the 1990’s a number of Commission orders precluded pipelines from retaining the gain on sales of storage gas at market prices. </w:t>
      </w:r>
      <w:r>
        <w:rPr>
          <w:u w:val="single"/>
        </w:rPr>
        <w:t>See</w:t>
      </w:r>
      <w:r>
        <w:rPr/>
        <w:t xml:space="preserve"> </w:t>
      </w:r>
      <w:r>
        <w:rPr>
          <w:u w:val="single"/>
        </w:rPr>
        <w:t>Williston Basin Interstate Pipeline Co.,</w:t>
      </w:r>
      <w:r>
        <w:rPr/>
        <w:t xml:space="preserve"> 62 FERC ¶ 61,144 (1993) (permitting Williston to retain proceeds from sale) </w:t>
      </w:r>
      <w:r>
        <w:rPr>
          <w:u w:val="single"/>
        </w:rPr>
        <w:t>reh’g granted</w:t>
      </w:r>
      <w:r>
        <w:rPr/>
        <w:t xml:space="preserve"> 63 FERC ¶ 61,184 (1993) (requiring Williston to credit gain against restructuring costs), </w:t>
      </w:r>
      <w:r>
        <w:rPr>
          <w:u w:val="single"/>
        </w:rPr>
        <w:t>modified on reh’g</w:t>
      </w:r>
      <w:r>
        <w:rPr/>
        <w:t xml:space="preserve"> 64 FERC ¶ 61,297 (1993)  (requiring sale to customers at cost), </w:t>
      </w:r>
      <w:r>
        <w:rPr>
          <w:u w:val="single"/>
        </w:rPr>
        <w:t>reh’g denied</w:t>
      </w:r>
      <w:r>
        <w:rPr/>
        <w:t xml:space="preserve"> 65 FERC ¶ 61,334 (1993), </w:t>
      </w:r>
      <w:r>
        <w:rPr>
          <w:u w:val="single"/>
        </w:rPr>
        <w:t>aff’d sub nom.</w:t>
      </w:r>
      <w:r>
        <w:rPr/>
        <w:t xml:space="preserve"> </w:t>
      </w:r>
      <w:r>
        <w:rPr>
          <w:u w:val="single"/>
        </w:rPr>
        <w:t>Williston Basin Interstate Pipeline Co. v. FERC</w:t>
      </w:r>
      <w:r>
        <w:rPr/>
        <w:t xml:space="preserve">, 115 F.3d 1042 (D.C. Cir. 1997).  </w:t>
      </w:r>
      <w:r>
        <w:rPr>
          <w:u w:val="single"/>
        </w:rPr>
        <w:t>See also</w:t>
      </w:r>
      <w:r>
        <w:rPr/>
        <w:t xml:space="preserve"> </w:t>
      </w:r>
      <w:r>
        <w:rPr>
          <w:u w:val="single"/>
        </w:rPr>
        <w:t>National Fuel Gas Supply Corp.</w:t>
      </w:r>
      <w:r>
        <w:rPr/>
        <w:t xml:space="preserve">, 62 FERC ¶ 61,200, at 62,481 (1993) (requiring sale to storage customers at book cost); </w:t>
      </w:r>
      <w:r>
        <w:rPr>
          <w:u w:val="single"/>
        </w:rPr>
        <w:t>Panhandle Eastern Pipe Line Co.</w:t>
      </w:r>
      <w:r>
        <w:rPr/>
        <w:t xml:space="preserve">, 62 FERC ¶ 61,288, at 62,884 (1993) (requiring sale to storage customers at book cost), </w:t>
      </w:r>
      <w:r>
        <w:rPr>
          <w:u w:val="single"/>
        </w:rPr>
        <w:t>Columbia Gas Transmission Corp.</w:t>
      </w:r>
      <w:r>
        <w:rPr/>
        <w:t xml:space="preserve">, 64 FERC ¶ 61,060, at 61,569 (1993) (requiring sale to storage customers at book cost).  </w:t>
      </w:r>
    </w:p>
    <w:p>
      <w:pPr>
        <w:pStyle w:val="Normal"/>
        <w:ind w:firstLine="720" w:end="0"/>
        <w:rPr/>
      </w:pPr>
      <w:r>
        <w:rPr/>
      </w:r>
    </w:p>
    <w:p>
      <w:pPr>
        <w:pStyle w:val="Normal"/>
        <w:ind w:firstLine="720" w:end="0"/>
        <w:rPr/>
      </w:pPr>
      <w:r>
        <w:rPr/>
        <w:t xml:space="preserve">We do not believe that the conclusions of these orders govern the present circumstances.  The factual predicate to each of the orders was that volumes of pipeline owned working gas had been made surplus as a result of restructuring. Restructuring also exposed the pipelines to transition costs, from which the Commission was protecting the pipelines.   When the D.C. Circuit considered Williston’s appeal of the Commission’s requirements, it found the Commission’s approach to be “consistent with the general cost allocation scheme of Order No. 636…Its prior decisions to place these and other transition costs on the customers bolsters the Commission’s justification for allocating any seemingly parallel transition benefits to the customers.”  </w:t>
      </w:r>
      <w:r>
        <w:rPr>
          <w:u w:val="single"/>
        </w:rPr>
        <w:t>Williston</w:t>
      </w:r>
      <w:r>
        <w:rPr/>
        <w:t xml:space="preserve">, </w:t>
      </w:r>
      <w:r>
        <w:rPr>
          <w:u w:val="single"/>
        </w:rPr>
        <w:t>supra</w:t>
      </w:r>
      <w:r>
        <w:rPr/>
        <w:t>, at 1044-45.</w:t>
      </w:r>
    </w:p>
    <w:p>
      <w:pPr>
        <w:pStyle w:val="Normal"/>
        <w:ind w:firstLine="720" w:end="0"/>
        <w:rPr/>
      </w:pPr>
      <w:r>
        <w:rPr/>
      </w:r>
    </w:p>
    <w:p>
      <w:pPr>
        <w:pStyle w:val="Normal"/>
        <w:ind w:start="720" w:end="0"/>
        <w:rPr>
          <w:u w:val="single"/>
        </w:rPr>
      </w:pPr>
      <w:r>
        <w:rPr>
          <w:u w:val="single"/>
        </w:rPr>
        <w:t xml:space="preserve">Post-Restructuring Cases Discussing Treatment of Net Proceeds </w:t>
      </w:r>
    </w:p>
    <w:p>
      <w:pPr>
        <w:pStyle w:val="Normal"/>
        <w:ind w:start="720" w:end="0"/>
        <w:rPr>
          <w:u w:val="single"/>
        </w:rPr>
      </w:pPr>
      <w:r>
        <w:rPr>
          <w:u w:val="single"/>
        </w:rPr>
        <w:t>from Base Gas Sales</w:t>
      </w:r>
    </w:p>
    <w:p>
      <w:pPr>
        <w:pStyle w:val="Normal"/>
        <w:ind w:firstLine="720" w:end="0"/>
        <w:rPr>
          <w:u w:val="single"/>
        </w:rPr>
      </w:pPr>
      <w:r>
        <w:rPr>
          <w:u w:val="single"/>
        </w:rPr>
      </w:r>
    </w:p>
    <w:p>
      <w:pPr>
        <w:pStyle w:val="Normal"/>
        <w:ind w:firstLine="720" w:end="0"/>
        <w:rPr/>
      </w:pPr>
      <w:r>
        <w:rPr/>
        <w:t xml:space="preserve">When Commission-mandated restructuring was no longer the driving force, the Commission appears to have returned to more traditional standards.  In non-structuring and post-restructuring cases, the Commission has not summarily required sales of storage gas, and particularly sales of base gas, to customers at book costs.  As described below, storage abandonment and certificate amendment cases involving base gas sales suggest that the ultimate treatment of net proceeds from the sale of base gas will be determined by the traditional principles and policy considerations.  </w:t>
      </w:r>
    </w:p>
    <w:p>
      <w:pPr>
        <w:pStyle w:val="Normal"/>
        <w:spacing w:before="120" w:after="0"/>
        <w:ind w:firstLine="720" w:end="0"/>
        <w:rPr/>
      </w:pPr>
      <w:r>
        <w:rPr>
          <w:u w:val="single"/>
        </w:rPr>
        <w:t>Equitrans, Inc.</w:t>
      </w:r>
      <w:r>
        <w:rPr/>
        <w:t xml:space="preserve">, 75 FERC ¶ 61,203 (1996) is the most instructive case and, subject to some important qualifications, offers the most straight-forward statement of the Commission standards.  Equitrans sought authority under section 7(c) of the NGA to withdraw a portion of the base gas from a storage reservoir and to replace it with lower cost nitrogen, over a three year period, without affecting the availability of pipeline quality working gas from the storage field. Equitrans proposed to sell the base gas to be removed, at market-based prices in accordance with its Tariff.  </w:t>
      </w:r>
    </w:p>
    <w:p>
      <w:pPr>
        <w:pStyle w:val="Normal"/>
        <w:spacing w:before="120" w:after="0"/>
        <w:ind w:firstLine="720" w:end="0"/>
        <w:rPr/>
      </w:pPr>
      <w:r>
        <w:rPr/>
        <w:t>To account for the transaction, Equitrans proposed to reduce its investment in base gas recorded in Account 117.1, Gas Stored-Base Gas, by the difference between the cost of the base natural gas withdrawn (approximately $1.10 Mcf) and the cost of the nitrogen injected into the reservoir (approximately $1.00 per Mcf).   The cost-of-service impact of reducing the cost of the storage base (and changing depreciation) was proposed to be reflected in Equitrans' next general section 4(e) rate filing.</w:t>
      </w:r>
      <w:r>
        <w:rPr>
          <w:rStyle w:val="FootnoteCharacters"/>
          <w:rStyle w:val="FootnoteReference"/>
        </w:rPr>
        <w:footnoteReference w:id="7"/>
      </w:r>
      <w:r>
        <w:rPr/>
        <w:t xml:space="preserve"> </w:t>
      </w:r>
    </w:p>
    <w:p>
      <w:pPr>
        <w:pStyle w:val="Normal"/>
        <w:spacing w:before="120" w:after="0"/>
        <w:ind w:firstLine="720" w:end="0"/>
        <w:rPr/>
      </w:pPr>
      <w:r>
        <w:rPr/>
        <w:t>Protests were filed concerning the risks of project failure, damage to the storage field, and Equitrans’ retention of net proceeds from the sale of base gas.  In response, Equitrans amended its request to assume all of the risk of any damage being sustained to the reservoir.  It also stated that it would guarantee that certificated entitlement levels of existing storage customers will be met through the terms of all contracts regardless of unforeseen adverse effects of substituting nitrogen for natural gas in the reservoir and Equitrans proposed a monitoring plan to assure that no substantial damage to the reservoir occurred.  Equitrans offered to fund any restoration work with revenue from the sale of the base gas and to insulate customers from other costs if they exceeded the net revenues from base gas sales.</w:t>
      </w:r>
    </w:p>
    <w:p>
      <w:pPr>
        <w:pStyle w:val="Normal"/>
        <w:spacing w:before="120" w:after="0"/>
        <w:ind w:firstLine="720" w:end="0"/>
        <w:rPr/>
      </w:pPr>
      <w:r>
        <w:rPr/>
        <w:t xml:space="preserve">The Commission concluded that having been issued a blanket sales certificate pursuant to section 284.284 of the Commission's regulations, Equitrans did not require further authorization to make sales of the extracted cushion gas, but that the proposed nitrogen injection experiment involved physical alterations to a certificated storage field which required a certificate amendment. </w:t>
      </w:r>
    </w:p>
    <w:p>
      <w:pPr>
        <w:pStyle w:val="BodyTextIndent"/>
        <w:rPr/>
      </w:pPr>
      <w:r>
        <w:rPr/>
      </w:r>
    </w:p>
    <w:p>
      <w:pPr>
        <w:pStyle w:val="BodyTextIndent"/>
        <w:rPr/>
      </w:pPr>
      <w:r>
        <w:rPr/>
        <w:t>Because the Commission concluded that the new technology had the potential to create cost savings for storage field operations and Equitrans accepted the risk of the project, the ratepayers would not be harmed and the industry, as a whole, might benefit.</w:t>
      </w:r>
    </w:p>
    <w:p>
      <w:pPr>
        <w:pStyle w:val="Normal"/>
        <w:spacing w:before="120" w:after="0"/>
        <w:ind w:firstLine="720" w:end="0"/>
        <w:rPr/>
      </w:pPr>
      <w:r>
        <w:rPr/>
        <w:t xml:space="preserve">The Commission analyzed the transaction in light of </w:t>
      </w:r>
      <w:r>
        <w:rPr>
          <w:u w:val="single"/>
        </w:rPr>
        <w:t>El Paso Natural Gas Co.</w:t>
      </w:r>
      <w:r>
        <w:rPr/>
        <w:t>, Opinion No. 4, 1 FERC ¶ 61,108 (1977) and determined that allocating gain between investor and ratepayer turns on balancing who bears the financial burden of particular utility activity and who has the risk of capital losses.   Allowing Equitrans to retain the revenue recognized that the customers would not be adversely affected by the proposal and provided Equitrans with the incentive necessary to test and implement this new technology on its system for subsequent availability industry-wide.  Accordingly, the Commission accepted Equitrans' proposal to retain the gain on sales of the base gas.</w:t>
      </w:r>
      <w:r>
        <w:rPr>
          <w:rStyle w:val="FootnoteCharacters"/>
          <w:rStyle w:val="FootnoteReference"/>
        </w:rPr>
        <w:footnoteReference w:id="8"/>
      </w:r>
    </w:p>
    <w:p>
      <w:pPr>
        <w:pStyle w:val="Normal"/>
        <w:ind w:firstLine="720" w:end="0"/>
        <w:rPr/>
      </w:pPr>
      <w:r>
        <w:rPr/>
      </w:r>
    </w:p>
    <w:p>
      <w:pPr>
        <w:pStyle w:val="Normal"/>
        <w:ind w:firstLine="720" w:end="0"/>
        <w:rPr/>
      </w:pPr>
      <w:r>
        <w:rPr/>
        <w:t xml:space="preserve">Thus, we believe </w:t>
      </w:r>
      <w:r>
        <w:rPr>
          <w:u w:val="single"/>
        </w:rPr>
        <w:t>Equitrans</w:t>
      </w:r>
      <w:r>
        <w:rPr/>
        <w:t xml:space="preserve"> supports retention of the net gain on the sale of base gas so long as three conditions obtain: (i) the ratepayers are insulated against operating risk; (ii) ratepayers receive a net benefit in the form of reduced rate base in the next rate case; and (iii) a public policy objective is fostered by the incentive of retaining net gain.  In </w:t>
      </w:r>
      <w:r>
        <w:rPr>
          <w:u w:val="single"/>
        </w:rPr>
        <w:t>Equitrans</w:t>
      </w:r>
      <w:r>
        <w:rPr/>
        <w:t xml:space="preserve">, the public policy being fostered was testing and introducing a new technology.  It bears noting that once the technology is proven, it may be sufficient to justify retention of net gain on the grounds that it provides an incentive for pipelines to use the technology.  However, as the new technology becomes the norm, the justification for providing an incentive to do what should be done without incentives weakens and another public policy goal might need to be developed to support pipeline retention of the gain.  We discuss other such justifications in the section identified as </w:t>
      </w:r>
      <w:r>
        <w:rPr>
          <w:u w:val="single"/>
        </w:rPr>
        <w:t>Suggested Enhancements</w:t>
      </w:r>
      <w:r>
        <w:rPr/>
        <w:t>, below.</w:t>
      </w:r>
    </w:p>
    <w:p>
      <w:pPr>
        <w:pStyle w:val="Normal"/>
        <w:ind w:firstLine="720" w:end="0"/>
        <w:rPr/>
      </w:pPr>
      <w:r>
        <w:rPr/>
      </w:r>
    </w:p>
    <w:p>
      <w:pPr>
        <w:pStyle w:val="BodyTextIndent"/>
        <w:rPr/>
      </w:pPr>
      <w:r>
        <w:rPr/>
        <w:t xml:space="preserve">The facts appearing in </w:t>
      </w:r>
      <w:r>
        <w:rPr>
          <w:u w:val="single"/>
        </w:rPr>
        <w:t>Equitrans</w:t>
      </w:r>
      <w:r>
        <w:rPr/>
        <w:t xml:space="preserve"> have not been replicated in later cases.  Subsequent Commission orders appear to suggest that the determination of retention of net gain on base gas sales invokes the application of traditional standards, tending in favor of pipeline retention of gains, but certainly not without exception.</w:t>
      </w:r>
    </w:p>
    <w:p>
      <w:pPr>
        <w:pStyle w:val="BodyTextIndent"/>
        <w:rPr/>
      </w:pPr>
      <w:r>
        <w:rPr/>
        <w:t xml:space="preserve"> </w:t>
      </w:r>
    </w:p>
    <w:p>
      <w:pPr>
        <w:pStyle w:val="BodyTextIndent"/>
        <w:ind w:hanging="0" w:start="720" w:end="0"/>
        <w:rPr>
          <w:u w:val="single"/>
        </w:rPr>
      </w:pPr>
      <w:r>
        <w:rPr>
          <w:u w:val="single"/>
        </w:rPr>
        <w:t>Columbia</w:t>
      </w:r>
    </w:p>
    <w:p>
      <w:pPr>
        <w:pStyle w:val="BodyTextIndent"/>
        <w:rPr/>
      </w:pPr>
      <w:r>
        <w:rPr/>
      </w:r>
    </w:p>
    <w:p>
      <w:pPr>
        <w:pStyle w:val="BodyTextIndent"/>
        <w:rPr/>
      </w:pPr>
      <w:r>
        <w:rPr/>
        <w:t>The Commission has authorized Columbia Gas Transmission Corporation’s abandonment of storage fields, including the authority to sell base gas on a number of occasions.  In each instance, the treatment of resulting proceeds has been driven by a pre-existing, uncontested settlement.</w:t>
      </w:r>
    </w:p>
    <w:p>
      <w:pPr>
        <w:pStyle w:val="Normal"/>
        <w:ind w:firstLine="720" w:end="0"/>
        <w:rPr/>
      </w:pPr>
      <w:r>
        <w:rPr/>
      </w:r>
    </w:p>
    <w:p>
      <w:pPr>
        <w:pStyle w:val="Normal"/>
        <w:ind w:firstLine="720" w:end="0"/>
        <w:rPr/>
      </w:pPr>
      <w:r>
        <w:rPr/>
        <w:t xml:space="preserve">In </w:t>
      </w:r>
      <w:r>
        <w:rPr>
          <w:u w:val="single"/>
        </w:rPr>
        <w:t>Columbia Gas Transmission Corp.</w:t>
      </w:r>
      <w:r>
        <w:rPr/>
        <w:t xml:space="preserve">, (Docket Nos. CP96-213-000, CP96-213-001, and CP90-644-003, Docket No. CP96-559-000 (Not Consolidated )), 78 FERC ¶ 61,030 (January 16, 1997), Columbia requested that the Commission defer consideration of the issue of how proceeds from the sale of base gas would be treated, expecting the matter to be resolved in its rate case settlement.  The Commission agreed to defer and later in the same year an uncontested settlement, approved by the Commission, established an approach which permitted Columbia it to retain all of the profits up to a stated level and a portion of any additional profits, the remainder to be flowed back through annual filings, with interest from the date of payment for the base gas sold.   </w:t>
      </w:r>
      <w:r>
        <w:rPr>
          <w:u w:val="single"/>
        </w:rPr>
        <w:t>See</w:t>
      </w:r>
      <w:r>
        <w:rPr/>
        <w:t xml:space="preserve"> </w:t>
      </w:r>
      <w:r>
        <w:rPr>
          <w:u w:val="single"/>
        </w:rPr>
        <w:t>Columbia Gas Transmission Corp.</w:t>
      </w:r>
      <w:r>
        <w:rPr/>
        <w:t>, 79 FERC ¶ 61,044 (1997).</w:t>
      </w:r>
      <w:r>
        <w:rPr>
          <w:rStyle w:val="FootnoteCharacters"/>
          <w:rStyle w:val="FootnoteReference"/>
        </w:rPr>
        <w:footnoteReference w:id="9"/>
      </w:r>
    </w:p>
    <w:p>
      <w:pPr>
        <w:pStyle w:val="Normal"/>
        <w:ind w:firstLine="720" w:end="0"/>
        <w:rPr/>
      </w:pPr>
      <w:r>
        <w:rPr/>
      </w:r>
    </w:p>
    <w:p>
      <w:pPr>
        <w:pStyle w:val="BodyTextIndent"/>
        <w:rPr/>
      </w:pPr>
      <w:r>
        <w:rPr/>
        <w:t xml:space="preserve">In connection with a later application, in light of the settlement, the Commission rejected an attempt by Columbia to account for proceeds of base gas sales as if they were made at book value. </w:t>
      </w:r>
      <w:r>
        <w:rPr>
          <w:u w:val="single"/>
        </w:rPr>
        <w:t>Columbia Gas Transmission Corp.</w:t>
      </w:r>
      <w:r>
        <w:rPr/>
        <w:t>, 87 FERC ¶ 61,019, at 61,058 (1999).</w:t>
      </w:r>
      <w:r>
        <w:rPr>
          <w:rStyle w:val="FootnoteCharacters"/>
          <w:rStyle w:val="FootnoteReference"/>
        </w:rPr>
        <w:footnoteReference w:id="10"/>
      </w:r>
    </w:p>
    <w:p>
      <w:pPr>
        <w:pStyle w:val="Normal"/>
        <w:ind w:firstLine="720" w:end="0"/>
        <w:rPr/>
      </w:pPr>
      <w:r>
        <w:rPr/>
      </w:r>
    </w:p>
    <w:p>
      <w:pPr>
        <w:pStyle w:val="Normal"/>
        <w:ind w:firstLine="720" w:end="0"/>
        <w:rPr/>
      </w:pPr>
      <w:r>
        <w:rPr/>
        <w:t xml:space="preserve">Subsequent abandonments and sales of base gas by Columbia were approved by the Commission with both Columbia and the Commission relying on the settlement provisions for the disposition of net proceeds.  </w:t>
      </w:r>
      <w:r>
        <w:rPr>
          <w:u w:val="single"/>
        </w:rPr>
        <w:t>See</w:t>
      </w:r>
      <w:r>
        <w:rPr/>
        <w:t xml:space="preserve"> </w:t>
      </w:r>
      <w:r>
        <w:rPr>
          <w:u w:val="single"/>
        </w:rPr>
        <w:t>Columbia Gas Transmission Corp.</w:t>
      </w:r>
      <w:r>
        <w:rPr/>
        <w:t xml:space="preserve">, 89 FERC ¶ 61,049 (1999), </w:t>
      </w:r>
      <w:r>
        <w:rPr>
          <w:u w:val="single"/>
        </w:rPr>
        <w:t>Columbia Gas Transmission Corp.</w:t>
      </w:r>
      <w:r>
        <w:rPr/>
        <w:t xml:space="preserve">, 91 FERC ¶ 61,279 (2000), </w:t>
      </w:r>
      <w:r>
        <w:rPr>
          <w:u w:val="single"/>
        </w:rPr>
        <w:t>Columbia Gas Transmission Corp.</w:t>
      </w:r>
      <w:r>
        <w:rPr/>
        <w:t xml:space="preserve">, 93 FERC ¶ 62,017 (2000), </w:t>
      </w:r>
      <w:r>
        <w:rPr>
          <w:u w:val="single"/>
        </w:rPr>
        <w:t>Columbia Gas Transmission Corp.</w:t>
      </w:r>
      <w:r>
        <w:rPr/>
        <w:t>, 96 FERC ¶ 61,082 (July 16, 2001).</w:t>
      </w:r>
      <w:r>
        <w:rPr>
          <w:rStyle w:val="FootnoteCharacters"/>
          <w:rStyle w:val="FootnoteReference"/>
        </w:rPr>
        <w:footnoteReference w:id="11"/>
      </w:r>
    </w:p>
    <w:p>
      <w:pPr>
        <w:pStyle w:val="Normal"/>
        <w:ind w:firstLine="720" w:end="0"/>
        <w:rPr/>
      </w:pPr>
      <w:r>
        <w:rPr/>
      </w:r>
    </w:p>
    <w:p>
      <w:pPr>
        <w:pStyle w:val="Normal"/>
        <w:ind w:firstLine="720" w:end="0"/>
        <w:rPr/>
      </w:pPr>
      <w:r>
        <w:rPr/>
        <w:tab/>
      </w:r>
    </w:p>
    <w:p>
      <w:pPr>
        <w:pStyle w:val="Normal"/>
        <w:ind w:start="720" w:end="0"/>
        <w:rPr>
          <w:u w:val="single"/>
        </w:rPr>
      </w:pPr>
      <w:r>
        <w:rPr>
          <w:u w:val="single"/>
        </w:rPr>
        <w:t>Duke Energy Field Services, Inc.</w:t>
      </w:r>
    </w:p>
    <w:p>
      <w:pPr>
        <w:pStyle w:val="Normal"/>
        <w:ind w:firstLine="720" w:end="0"/>
        <w:rPr>
          <w:u w:val="single"/>
        </w:rPr>
      </w:pPr>
      <w:r>
        <w:rPr>
          <w:u w:val="single"/>
        </w:rPr>
      </w:r>
    </w:p>
    <w:p>
      <w:pPr>
        <w:pStyle w:val="Normal"/>
        <w:ind w:firstLine="720" w:end="0"/>
        <w:rPr/>
      </w:pPr>
      <w:r>
        <w:rPr/>
        <w:t>The Commission authorized the abandonment by sale to an affiliate of a storage field, finding that upon transfer it would be used for non-jurisdictional purposes and permitting the removal and sale of base gas with no provision for customers to receive any share of the proceeds, although it should be noted that all existing service contracts were terminating and the proposal was not protested.</w:t>
      </w:r>
      <w:r>
        <w:rPr>
          <w:rStyle w:val="Emphasis"/>
        </w:rPr>
        <w:t xml:space="preserve"> </w:t>
      </w:r>
      <w:r>
        <w:rPr>
          <w:u w:val="single"/>
        </w:rPr>
        <w:t>Duke Energy Field Services, Inc.</w:t>
      </w:r>
      <w:r>
        <w:rPr/>
        <w:t>, 83 FERC ¶ 61,153 (1998).</w:t>
      </w:r>
    </w:p>
    <w:p>
      <w:pPr>
        <w:pStyle w:val="Normal"/>
        <w:ind w:firstLine="720" w:end="0"/>
        <w:rPr/>
      </w:pPr>
      <w:r>
        <w:rPr/>
      </w:r>
    </w:p>
    <w:p>
      <w:pPr>
        <w:pStyle w:val="Heading3"/>
        <w:ind w:hanging="0" w:end="0"/>
        <w:rPr/>
      </w:pPr>
      <w:r>
        <w:rPr/>
        <w:t>ANR Pipeline Company</w:t>
      </w:r>
    </w:p>
    <w:p>
      <w:pPr>
        <w:pStyle w:val="Normal"/>
        <w:rPr/>
      </w:pPr>
      <w:r>
        <w:rPr/>
      </w:r>
    </w:p>
    <w:p>
      <w:pPr>
        <w:pStyle w:val="Normal"/>
        <w:ind w:firstLine="720" w:end="0"/>
        <w:rPr/>
      </w:pPr>
      <w:r>
        <w:rPr/>
        <w:t xml:space="preserve">In a delegated order, ANR Pipeline Company was authorized to abandon certain storage field operations including base gas, by sale to an affiliate at book value.  ANR proposed to account for the transfer of the storage fields, storage facilities, and related base gas as the disposition of operating units or systems in accordance with the requirements of Account 102, Gas Plant Purchased or Sold, and Gas Plant Instruction No. 5 of the Commission's Uniform System of Accounts (USofA). These requirements would recognize a gain or loss on the disposition of gas plant for the difference between the transfer price and the net book cost, which here would be zero.  The delegation order found ANR's accounting for the proposed inter-company sale in conformity with the requirements of the Uniform System of Accounts. </w:t>
      </w:r>
      <w:r>
        <w:rPr>
          <w:u w:val="single"/>
        </w:rPr>
        <w:t>ANR Pipeline Co.</w:t>
      </w:r>
      <w:r>
        <w:rPr/>
        <w:t>, 85 FERC ¶ 62,044 (1998)</w:t>
      </w:r>
    </w:p>
    <w:p>
      <w:pPr>
        <w:pStyle w:val="Normal"/>
        <w:rPr/>
      </w:pPr>
      <w:r>
        <w:rPr/>
      </w:r>
    </w:p>
    <w:p>
      <w:pPr>
        <w:pStyle w:val="Heading2"/>
        <w:ind w:hanging="0" w:start="720" w:end="0"/>
        <w:rPr/>
      </w:pPr>
      <w:r>
        <w:rPr/>
        <w:t>Colorado Interstate Gas Company</w:t>
      </w:r>
    </w:p>
    <w:p>
      <w:pPr>
        <w:pStyle w:val="Normal"/>
        <w:ind w:firstLine="720" w:end="0"/>
        <w:rPr/>
      </w:pPr>
      <w:r>
        <w:rPr/>
        <w:br/>
        <w:tab/>
        <w:t xml:space="preserve">The Commission approved the abandonment of a Colorado Interstate Gas Company storage reservoir, including the sale of the base gas, subject to conditions, including, that any realized gains on sales of base gas be recorded in Account 253, Other Deferred Credits, and, as CIG had requested, subject to the outcome of the company’s pending rate proceeding. </w:t>
      </w:r>
      <w:r>
        <w:rPr>
          <w:u w:val="single"/>
        </w:rPr>
        <w:t>Colorado Interstate Gas Co.</w:t>
      </w:r>
      <w:r>
        <w:rPr/>
        <w:t xml:space="preserve">, 95 FERC  ¶ 61,221 (May 16, 2001). </w:t>
      </w:r>
    </w:p>
    <w:p>
      <w:pPr>
        <w:pStyle w:val="Normal"/>
        <w:rPr/>
      </w:pPr>
      <w:r>
        <w:rPr/>
      </w:r>
    </w:p>
    <w:p>
      <w:pPr>
        <w:pStyle w:val="Normal"/>
        <w:rPr/>
      </w:pPr>
      <w:r>
        <w:rPr/>
        <w:tab/>
      </w:r>
      <w:r>
        <w:rPr>
          <w:u w:val="single"/>
        </w:rPr>
        <w:t>National Fuel Gas Supply Corp.</w:t>
      </w:r>
    </w:p>
    <w:p>
      <w:pPr>
        <w:pStyle w:val="Normal"/>
        <w:rPr>
          <w:u w:val="single"/>
        </w:rPr>
      </w:pPr>
      <w:r>
        <w:rPr>
          <w:u w:val="single"/>
        </w:rPr>
      </w:r>
    </w:p>
    <w:p>
      <w:pPr>
        <w:pStyle w:val="Normal"/>
        <w:ind w:firstLine="720" w:end="0"/>
        <w:rPr/>
      </w:pPr>
      <w:r>
        <w:rPr/>
        <w:t xml:space="preserve">In </w:t>
      </w:r>
      <w:r>
        <w:rPr>
          <w:u w:val="single"/>
        </w:rPr>
        <w:t>National Fuel Gas Supply Corp.</w:t>
      </w:r>
      <w:r>
        <w:rPr/>
        <w:t xml:space="preserve">, 95 FERC ¶ 61,353 (June 4, 2001) the Commission granted authorization to operate storage facilities on a permanent basis but at a reduced level permitting the sale of some base gas.   However, because the Commission also, at least preliminarily, concluded that the company had violated section 157.215(a)(4) of the Regulations (permitting gas to be withdrawn from a well constructed pursuant to section 157.215 only on an occasional basis for testing purposes), it required National Fuel to track revenues from the sale of the base gas and noted that the disposition of those revenues will be considered in an enforcement investigation to be conducted. </w:t>
      </w:r>
    </w:p>
    <w:p>
      <w:pPr>
        <w:pStyle w:val="Normal"/>
        <w:ind w:firstLine="720" w:end="0"/>
        <w:rPr/>
      </w:pPr>
      <w:r>
        <w:rPr/>
      </w:r>
    </w:p>
    <w:p>
      <w:pPr>
        <w:pStyle w:val="Heading4"/>
        <w:rPr/>
      </w:pPr>
      <w:r>
        <w:rPr/>
        <w:t>Application of the Current Standard</w:t>
      </w:r>
    </w:p>
    <w:p>
      <w:pPr>
        <w:pStyle w:val="Normal"/>
        <w:ind w:firstLine="720" w:start="720" w:end="0"/>
        <w:rPr>
          <w:u w:val="single"/>
        </w:rPr>
      </w:pPr>
      <w:r>
        <w:rPr>
          <w:u w:val="single"/>
        </w:rPr>
      </w:r>
    </w:p>
    <w:p>
      <w:pPr>
        <w:pStyle w:val="FootnoteText"/>
        <w:ind w:firstLine="720" w:end="0"/>
        <w:rPr/>
      </w:pPr>
      <w:r>
        <w:rPr>
          <w:sz w:val="24"/>
        </w:rPr>
        <w:t xml:space="preserve">Although the Commission is predisposed to permit pipeline retention of gain on asset sales, it has stated that it applies the </w:t>
      </w:r>
      <w:r>
        <w:rPr>
          <w:sz w:val="24"/>
          <w:u w:val="single"/>
        </w:rPr>
        <w:t>Democratic Central Committee</w:t>
      </w:r>
      <w:r>
        <w:rPr>
          <w:sz w:val="24"/>
        </w:rPr>
        <w:t xml:space="preserve"> standards.  The application of those standards will turn, in the first instance, on the answer to the question of who bore the risk of capital loss, as well as considering the more exacting and less favorable standard, of whether the consumer has borne the financial burdens of normal maintenance, investment losses due to normal wear and tear on depreciable assets, and by exhaustion of depletable assets, for under-depreciation at the time of retirement, and for loss upon obsolescence, </w:t>
      </w:r>
      <w:r>
        <w:rPr>
          <w:sz w:val="24"/>
          <w:u w:val="single"/>
        </w:rPr>
        <w:t>Democratic Central Committee</w:t>
      </w:r>
      <w:r>
        <w:rPr>
          <w:sz w:val="24"/>
        </w:rPr>
        <w:t xml:space="preserve">, </w:t>
      </w:r>
      <w:r>
        <w:rPr>
          <w:sz w:val="24"/>
          <w:u w:val="single"/>
        </w:rPr>
        <w:t>supra</w:t>
      </w:r>
      <w:r>
        <w:rPr>
          <w:sz w:val="24"/>
        </w:rPr>
        <w:t xml:space="preserve"> at 810.</w:t>
      </w:r>
      <w:r>
        <w:rPr>
          <w:rStyle w:val="FootnoteCharacters"/>
          <w:rStyle w:val="FootnoteReference"/>
          <w:sz w:val="24"/>
        </w:rPr>
        <w:footnoteReference w:id="12"/>
      </w:r>
      <w:r>
        <w:rPr>
          <w:sz w:val="24"/>
        </w:rPr>
        <w:t xml:space="preserve">  </w:t>
      </w:r>
    </w:p>
    <w:p>
      <w:pPr>
        <w:pStyle w:val="Normal"/>
        <w:ind w:firstLine="720" w:end="0"/>
        <w:rPr>
          <w:sz w:val="24"/>
        </w:rPr>
      </w:pPr>
      <w:r>
        <w:rPr>
          <w:sz w:val="24"/>
        </w:rPr>
      </w:r>
    </w:p>
    <w:p>
      <w:pPr>
        <w:pStyle w:val="Normal"/>
        <w:ind w:firstLine="720" w:end="0"/>
        <w:rPr/>
      </w:pPr>
      <w:r>
        <w:rPr/>
        <w:t xml:space="preserve"> </w:t>
      </w:r>
      <w:r>
        <w:rPr/>
        <w:t xml:space="preserve">The Commission has applied the </w:t>
      </w:r>
      <w:r>
        <w:rPr>
          <w:u w:val="single"/>
        </w:rPr>
        <w:t>Democratic Central Committee</w:t>
      </w:r>
      <w:r>
        <w:rPr/>
        <w:t xml:space="preserve"> factors as establishing a multi-pronged test under which the first inquiry is who carried the risk of capital loss, focussing on whether the pipeline had sought a waiver of applicable regulations to shift risks to ratepayers.  </w:t>
      </w:r>
      <w:r>
        <w:rPr>
          <w:u w:val="single"/>
        </w:rPr>
        <w:t>Trunkline Gas Co.</w:t>
      </w:r>
      <w:r>
        <w:rPr/>
        <w:t xml:space="preserve">, Opinion No. 441, </w:t>
      </w:r>
      <w:r>
        <w:rPr>
          <w:sz w:val="26"/>
        </w:rPr>
        <w:t>90 FERC ¶ 61,017 (2000)</w:t>
      </w:r>
      <w:r>
        <w:rPr>
          <w:b/>
        </w:rPr>
        <w:t xml:space="preserve">.  </w:t>
      </w:r>
      <w:r>
        <w:rPr/>
        <w:t xml:space="preserve">The Commission states that its “general ratemaking policy has been that shareholders retain gains and losses.” </w:t>
      </w:r>
      <w:r>
        <w:rPr>
          <w:u w:val="single"/>
        </w:rPr>
        <w:t>Trunkline Gas Co.</w:t>
      </w:r>
      <w:r>
        <w:rPr/>
        <w:t xml:space="preserve">, Opinion No. 441, 90 FERC at 61,098.  In order to determine if there is a reason to depart from that norm, the Commission inquires whether there are further equitable factors weighing in favor of ratepayers.  In </w:t>
      </w:r>
      <w:r>
        <w:rPr>
          <w:u w:val="single"/>
        </w:rPr>
        <w:t>Trunkline,</w:t>
      </w:r>
      <w:r>
        <w:rPr/>
        <w:t xml:space="preserve"> the Commission noted that:</w:t>
      </w:r>
    </w:p>
    <w:p>
      <w:pPr>
        <w:pStyle w:val="Normal"/>
        <w:ind w:firstLine="720" w:end="0"/>
        <w:rPr/>
      </w:pPr>
      <w:r>
        <w:rPr/>
      </w:r>
    </w:p>
    <w:p>
      <w:pPr>
        <w:pStyle w:val="BlockText"/>
        <w:rPr/>
      </w:pPr>
      <w:r>
        <w:rPr/>
        <w:t xml:space="preserve">In some cases, the sale of an asset has been associated with additional losses or costs to ratepayers.  In these cases, the Commission has found that the equities favor the ratepayers and that any gains should be awarded to ratepayers or used to offset costs or losses that they would have to pay. </w:t>
      </w:r>
    </w:p>
    <w:p>
      <w:pPr>
        <w:pStyle w:val="Normal"/>
        <w:rPr/>
      </w:pPr>
      <w:r>
        <w:rPr/>
      </w:r>
    </w:p>
    <w:p>
      <w:pPr>
        <w:pStyle w:val="Normal"/>
        <w:rPr>
          <w:b/>
        </w:rPr>
      </w:pPr>
      <w:r>
        <w:rPr/>
        <w:t xml:space="preserve">Trunkline, 90 FERC at </w:t>
      </w:r>
      <w:r>
        <w:rPr>
          <w:b/>
        </w:rPr>
        <w:t xml:space="preserve"> </w:t>
      </w:r>
      <w:r>
        <w:rPr/>
        <w:t>61,100-101.</w:t>
      </w:r>
    </w:p>
    <w:p>
      <w:pPr>
        <w:pStyle w:val="Normal"/>
        <w:rPr>
          <w:b/>
        </w:rPr>
      </w:pPr>
      <w:r>
        <w:rPr>
          <w:b/>
        </w:rPr>
      </w:r>
    </w:p>
    <w:p>
      <w:pPr>
        <w:pStyle w:val="Normal"/>
        <w:ind w:firstLine="720" w:end="0"/>
        <w:rPr/>
      </w:pPr>
      <w:r>
        <w:rPr/>
        <w:t xml:space="preserve">In most instances, base gas—at least recoverable base gas--is not considered to be a depreciating asset.  Rather, it is carried in inventory and the pipeline is permitted to earn a return </w:t>
      </w:r>
      <w:r>
        <w:rPr>
          <w:u w:val="single"/>
        </w:rPr>
        <w:t>on</w:t>
      </w:r>
      <w:r>
        <w:rPr/>
        <w:t xml:space="preserve"> the investment, not a return of the investment.  Thus, by the argument usually advanced by ratepayers--that they have “paid for” an asset by their contribution to depreciation—base gas would be readily distinguishable.</w:t>
      </w:r>
      <w:r>
        <w:rPr>
          <w:rStyle w:val="FootnoteCharacters"/>
          <w:rStyle w:val="FootnoteReference"/>
        </w:rPr>
        <w:footnoteReference w:id="13"/>
      </w:r>
      <w:r>
        <w:rPr/>
        <w:t xml:space="preserve">   The cost of non-recoverable base gas is usually amortized and thus, ratepayers would be able to advance an argument for a share of proceeds at least to the extent of their payment of the amortization.</w:t>
      </w:r>
    </w:p>
    <w:p>
      <w:pPr>
        <w:pStyle w:val="Normal"/>
        <w:ind w:firstLine="720" w:end="0"/>
        <w:rPr/>
      </w:pPr>
      <w:r>
        <w:rPr/>
      </w:r>
    </w:p>
    <w:p>
      <w:pPr>
        <w:pStyle w:val="Normal"/>
        <w:ind w:firstLine="720" w:end="0"/>
        <w:rPr/>
      </w:pPr>
      <w:r>
        <w:rPr/>
        <w:t xml:space="preserve">Gas losses—at least working gas losses--are a normal result of operating a storage field or reservoir.  Pipelines are required, in determining the results of operations for a given accounting period, to give accounting recognition to the cost of gas losses occurring during that accounting period no different than any cost associated with the operation of the storage facility (i.e. labor, compressor station fuel, and materials and supplies). </w:t>
      </w:r>
      <w:r>
        <w:rPr>
          <w:u w:val="single"/>
        </w:rPr>
        <w:t>See generally</w:t>
      </w:r>
      <w:r>
        <w:rPr/>
        <w:t xml:space="preserve"> </w:t>
      </w:r>
      <w:r>
        <w:rPr>
          <w:u w:val="single"/>
        </w:rPr>
        <w:t xml:space="preserve">Arkla Energy Resources, </w:t>
      </w:r>
      <w:r>
        <w:rPr/>
        <w:t>58 FERC ¶ 61,307 (1992).</w:t>
      </w:r>
    </w:p>
    <w:p>
      <w:pPr>
        <w:pStyle w:val="Normal"/>
        <w:ind w:firstLine="720" w:end="0"/>
        <w:rPr/>
      </w:pPr>
      <w:r>
        <w:rPr/>
      </w:r>
    </w:p>
    <w:p>
      <w:pPr>
        <w:pStyle w:val="Normal"/>
        <w:ind w:firstLine="720" w:end="0"/>
        <w:rPr/>
      </w:pPr>
      <w:r>
        <w:rPr/>
        <w:t xml:space="preserve">As a general proposition, the Commission does not foreclose pipeline recovery of such losses, although it is not receptive to the recovery of long past operating losses. If a pipeline’s ratepayers would be required or have been required to fund the cost of replacement base gas, or if base gas accounted for as recoverable, has been reclassified as non-recoverable and is being amortized, they will have an enhanced argument to share in the proceeds from the sale of base gas, but a detailed review of the accounting records and regulatory history of any such recoveries would be necessary to confirm whether this factor is more theoretical than real. </w:t>
      </w:r>
    </w:p>
    <w:p>
      <w:pPr>
        <w:pStyle w:val="Normal"/>
        <w:ind w:firstLine="720" w:end="0"/>
        <w:rPr/>
      </w:pPr>
      <w:r>
        <w:rPr/>
      </w:r>
    </w:p>
    <w:p>
      <w:pPr>
        <w:pStyle w:val="Normal"/>
        <w:ind w:firstLine="720" w:end="0"/>
        <w:rPr/>
      </w:pPr>
      <w:r>
        <w:rPr/>
        <w:t>Apart from the possible responsibility for the costs of losses, customer responsibility for recoverable base gas is generally limited to the return which inclusion in rate base produces.  That factor does not give rise to any particular interest in proceeds upon sale.</w:t>
      </w:r>
    </w:p>
    <w:p>
      <w:pPr>
        <w:pStyle w:val="Normal"/>
        <w:ind w:firstLine="720" w:end="0"/>
        <w:rPr/>
      </w:pPr>
      <w:r>
        <w:rPr/>
      </w:r>
    </w:p>
    <w:p>
      <w:pPr>
        <w:pStyle w:val="Normal"/>
        <w:ind w:firstLine="720" w:end="0"/>
        <w:rPr/>
      </w:pPr>
      <w:r>
        <w:rPr/>
        <w:t>We conclude that a pipeline which has never sought recovery of the cost of replacing lost base gas stands a greater likelihood of retaining gain on the sale of base gas.</w:t>
      </w:r>
    </w:p>
    <w:p>
      <w:pPr>
        <w:pStyle w:val="Normal"/>
        <w:ind w:firstLine="720" w:end="0"/>
        <w:rPr/>
      </w:pPr>
      <w:r>
        <w:rPr/>
      </w:r>
    </w:p>
    <w:p>
      <w:pPr>
        <w:pStyle w:val="Heading6"/>
        <w:rPr/>
      </w:pPr>
      <w:r>
        <w:rPr/>
        <w:t xml:space="preserve">Considerations Affecting Sales to an Affiliate at Book Value </w:t>
      </w:r>
    </w:p>
    <w:p>
      <w:pPr>
        <w:pStyle w:val="Normal"/>
        <w:ind w:firstLine="720" w:end="0"/>
        <w:rPr/>
      </w:pPr>
      <w:r>
        <w:rPr/>
      </w:r>
    </w:p>
    <w:p>
      <w:pPr>
        <w:pStyle w:val="Normal"/>
        <w:ind w:firstLine="720" w:end="0"/>
        <w:rPr/>
      </w:pPr>
      <w:r>
        <w:rPr/>
        <w:t xml:space="preserve">In </w:t>
      </w:r>
      <w:r>
        <w:rPr>
          <w:u w:val="single"/>
        </w:rPr>
        <w:t>ANR Pipeline Co.</w:t>
      </w:r>
      <w:r>
        <w:rPr/>
        <w:t>, 85 FERC ¶ 62,044 (1998), the Commission’s delegate approved the transfer of storage fields, storage facilities, and related base gas to an affiliate at book cost.  Moreover, the Commission has stated in this context that it normally permits the transfer of facilities to an affiliate at book value so that the pipeline does not record a gain (or loss) on the sale.  However, in most contexts in which the Commission has authorized such a transfer, it was not considering the sale of a commodity with a readily ascertainable market value.   The Commission could well look through a transaction with an affiliate if the pipeline accepts less than market value for the sale of an asset which the Commission later concludes should have resulted in a sharing of proceeds with customers.</w:t>
      </w:r>
    </w:p>
    <w:p>
      <w:pPr>
        <w:pStyle w:val="Normal"/>
        <w:ind w:firstLine="720" w:end="0"/>
        <w:rPr/>
      </w:pPr>
      <w:r>
        <w:rPr/>
      </w:r>
    </w:p>
    <w:p>
      <w:pPr>
        <w:pStyle w:val="Normal"/>
        <w:ind w:firstLine="720" w:end="0"/>
        <w:rPr/>
      </w:pPr>
      <w:r>
        <w:rPr/>
        <w:t>Notwithstanding that latter risk, the sale of base gas to an affiliate at book value reduces the likelihood that the pipeline will have to share gains on the sale of base gas.</w:t>
      </w:r>
    </w:p>
    <w:p>
      <w:pPr>
        <w:pStyle w:val="Normal"/>
        <w:ind w:firstLine="720" w:end="0"/>
        <w:rPr/>
      </w:pPr>
      <w:r>
        <w:rPr/>
      </w:r>
    </w:p>
    <w:p>
      <w:pPr>
        <w:pStyle w:val="Normal"/>
        <w:ind w:start="720" w:end="0"/>
        <w:rPr>
          <w:b/>
        </w:rPr>
      </w:pPr>
      <w:r>
        <w:rPr>
          <w:b/>
        </w:rPr>
        <w:t xml:space="preserve">Sale of Base Gas at Book Value and the Capture of Gain </w:t>
      </w:r>
    </w:p>
    <w:p>
      <w:pPr>
        <w:pStyle w:val="Normal"/>
        <w:ind w:start="720" w:end="0"/>
        <w:rPr>
          <w:b/>
        </w:rPr>
      </w:pPr>
      <w:r>
        <w:rPr>
          <w:b/>
        </w:rPr>
        <w:t>Using a Service Agreement</w:t>
      </w:r>
    </w:p>
    <w:p>
      <w:pPr>
        <w:pStyle w:val="Normal"/>
        <w:ind w:firstLine="720" w:end="0"/>
        <w:rPr>
          <w:b/>
        </w:rPr>
      </w:pPr>
      <w:r>
        <w:rPr>
          <w:b/>
        </w:rPr>
      </w:r>
    </w:p>
    <w:p>
      <w:pPr>
        <w:pStyle w:val="Normal"/>
        <w:ind w:firstLine="720" w:end="0"/>
        <w:rPr/>
      </w:pPr>
      <w:r>
        <w:rPr/>
        <w:t xml:space="preserve">In a transaction in which the value received by the pipeline would consist in part of the book value of the base gas and in part of revenue received for transportation services, the purchaser and the pipeline must be mindful of Commission proscriptions against the use of option contracts for transportation service agreements.  Presumably, the agreement to purchase transportation services would be contingent on other events, such as transfer of title to the base gas, with the pipeline making a forward commitment for the sale of the transportation services, or providing an option to purchase transportation services.  </w:t>
      </w:r>
    </w:p>
    <w:p>
      <w:pPr>
        <w:pStyle w:val="Normal"/>
        <w:ind w:firstLine="720" w:end="0"/>
        <w:rPr/>
      </w:pPr>
      <w:r>
        <w:rPr/>
      </w:r>
    </w:p>
    <w:p>
      <w:pPr>
        <w:pStyle w:val="Normal"/>
        <w:rPr/>
      </w:pPr>
      <w:r>
        <w:rPr/>
        <w:tab/>
        <w:t xml:space="preserve">There are relatively few cases regarding the use by pipelines of option agreements.  However, as a general matter, the Commission requires the pipeline to have a tariff provision allowing it to reserve capacity under option contracts, but even if it does, the subject capacity would have to remain available to satisfy requests for service at maximum firm rates, until the option is exercised and a firm contract is executed. This is so because Order No. 636 precludes pipelines from withholding capacity when service is requested at the maximum firm rate.  Denying a request for service at the maximum firm transportation rate due to the reservation of capacity under an option agreement would be inconsistent with this policy.   </w:t>
      </w:r>
    </w:p>
    <w:p>
      <w:pPr>
        <w:pStyle w:val="Normal"/>
        <w:spacing w:lineRule="atLeast" w:line="480"/>
        <w:rPr/>
      </w:pPr>
      <w:r>
        <w:rPr/>
        <w:tab/>
        <w:t>The Commission defined option contracts in a recent order:</w:t>
      </w:r>
    </w:p>
    <w:p>
      <w:pPr>
        <w:pStyle w:val="Footer"/>
        <w:tabs>
          <w:tab w:val="clear" w:pos="4320"/>
          <w:tab w:val="clear" w:pos="8640"/>
        </w:tabs>
        <w:rPr/>
      </w:pPr>
      <w:r>
        <w:rPr/>
      </w:r>
    </w:p>
    <w:p>
      <w:pPr>
        <w:pStyle w:val="BlockText"/>
        <w:rPr/>
      </w:pPr>
      <w:r>
        <w:rPr/>
        <w:t xml:space="preserve">[A]n option transaction involves a relatively low payment for the right, within a time certain, to acquire an asset or rights upon further notice to the other party.  Such a legal framework almost always involves further transactional work among the parties, for example, the execution of conveyancing instruments or a detailed lease.  </w:t>
      </w:r>
    </w:p>
    <w:p>
      <w:pPr>
        <w:pStyle w:val="BlockText"/>
        <w:rPr/>
      </w:pPr>
      <w:r>
        <w:rPr/>
      </w:r>
    </w:p>
    <w:p>
      <w:pPr>
        <w:pStyle w:val="Normal"/>
        <w:rPr/>
      </w:pPr>
      <w:r>
        <w:rPr>
          <w:u w:val="single"/>
        </w:rPr>
        <w:t>El Paso Natural Gas Co.</w:t>
      </w:r>
      <w:r>
        <w:rPr/>
        <w:t xml:space="preserve">, 88 FERC ¶ 61,139 at 61,424  (1999).  </w:t>
      </w:r>
    </w:p>
    <w:p>
      <w:pPr>
        <w:pStyle w:val="Normal"/>
        <w:rPr/>
      </w:pPr>
      <w:r>
        <w:rPr/>
      </w:r>
    </w:p>
    <w:p>
      <w:pPr>
        <w:pStyle w:val="Normal"/>
        <w:ind w:firstLine="720" w:end="0"/>
        <w:rPr/>
      </w:pPr>
      <w:r>
        <w:rPr/>
        <w:t xml:space="preserve">In a similar vein, in </w:t>
      </w:r>
      <w:r>
        <w:rPr>
          <w:u w:val="single"/>
        </w:rPr>
        <w:t>North American Energy Conservation, Inc. v. CNG Transmission Corp.</w:t>
      </w:r>
      <w:r>
        <w:rPr/>
        <w:t>, 88 FERC ¶ 61,255 (1999), the Commission concluded that CNG had violated its tariff by entering into an contract under which the other party had the option to reserve the capacity, stating that:</w:t>
      </w:r>
    </w:p>
    <w:p>
      <w:pPr>
        <w:pStyle w:val="Normal"/>
        <w:ind w:start="1440" w:end="0"/>
        <w:rPr/>
      </w:pPr>
      <w:r>
        <w:rPr/>
      </w:r>
    </w:p>
    <w:p>
      <w:pPr>
        <w:pStyle w:val="BlockText"/>
        <w:rPr/>
      </w:pPr>
      <w:r>
        <w:rPr/>
        <w:t>CNG's tariff does not appear to contain a provision that would permit it to offer an "option" to reserve capacity.  If CNG does not currently have a contract with the third party reserving the capacity for future use, it would appear that CNG may be unlawfully withholding capacity from the interstate market.</w:t>
      </w:r>
    </w:p>
    <w:p>
      <w:pPr>
        <w:pStyle w:val="Normal"/>
        <w:spacing w:lineRule="atLeast" w:line="480"/>
        <w:rPr/>
      </w:pPr>
      <w:r>
        <w:rPr/>
        <w:t>88 FERC at 61,810.</w:t>
      </w:r>
    </w:p>
    <w:p>
      <w:pPr>
        <w:pStyle w:val="Normal"/>
        <w:rPr/>
      </w:pPr>
      <w:r>
        <w:rPr/>
      </w:r>
    </w:p>
    <w:p>
      <w:pPr>
        <w:pStyle w:val="Normal"/>
        <w:ind w:firstLine="720" w:end="0"/>
        <w:rPr/>
      </w:pPr>
      <w:r>
        <w:rPr/>
        <w:t>Thus, the difficulty encountered in a pipeline obtaining value in excess of book for the sale by being provided consideration for other services is more associated with the pipeline being restricted in its ability to offer a firm and binding commitment for future services, than because of any restriction on using a transportation contract to provide additional consideration.  The parties to this kind of transaction must be attentive to the pipeline’s tariff, as well as to the structure of any such option to assure that prior to the commencement of the transportation service agreement, capacity is not withheld from the market for other shippers offering to pay maximum rates.</w:t>
      </w:r>
    </w:p>
    <w:p>
      <w:pPr>
        <w:pStyle w:val="Normal"/>
        <w:rPr/>
      </w:pPr>
      <w:r>
        <w:rPr/>
      </w:r>
    </w:p>
    <w:p>
      <w:pPr>
        <w:pStyle w:val="Normal"/>
        <w:ind w:firstLine="720" w:end="0"/>
        <w:rPr/>
      </w:pPr>
      <w:r>
        <w:rPr/>
        <w:t xml:space="preserve">In addition, of course, if the Commission concluded that the charges were part of a sham transaction, it would retain authority to vacate authorization and assess penalties for violation of the NGA. </w:t>
      </w:r>
    </w:p>
    <w:p>
      <w:pPr>
        <w:pStyle w:val="Heading1"/>
        <w:ind w:hanging="0" w:start="0"/>
        <w:rPr/>
      </w:pPr>
      <w:r>
        <w:rPr/>
      </w:r>
    </w:p>
    <w:p>
      <w:pPr>
        <w:pStyle w:val="Heading1"/>
        <w:ind w:hanging="0" w:start="0"/>
        <w:rPr>
          <w:b/>
        </w:rPr>
      </w:pPr>
      <w:r>
        <w:rPr>
          <w:b/>
        </w:rPr>
        <w:t>Model 2</w:t>
      </w:r>
    </w:p>
    <w:p>
      <w:pPr>
        <w:pStyle w:val="Footer"/>
        <w:tabs>
          <w:tab w:val="clear" w:pos="4320"/>
          <w:tab w:val="clear" w:pos="8640"/>
        </w:tabs>
        <w:rPr>
          <w:b/>
        </w:rPr>
      </w:pPr>
      <w:r>
        <w:rPr>
          <w:b/>
        </w:rPr>
      </w:r>
    </w:p>
    <w:p>
      <w:pPr>
        <w:pStyle w:val="Normal"/>
        <w:rPr/>
      </w:pPr>
      <w:r>
        <w:rPr/>
        <w:tab/>
        <w:t>Model 2 assumes that non-current pipeline owned working gas can be converted to base gas thus eliminating the need for an equivalent amount of base gas, freeing that base gas for sale.</w:t>
      </w:r>
    </w:p>
    <w:p>
      <w:pPr>
        <w:pStyle w:val="Normal"/>
        <w:rPr/>
      </w:pPr>
      <w:r>
        <w:rPr/>
      </w:r>
    </w:p>
    <w:p>
      <w:pPr>
        <w:pStyle w:val="Normal"/>
        <w:rPr/>
      </w:pPr>
      <w:r>
        <w:rPr/>
        <w:tab/>
        <w:t>Model 2 is affected by many of the same considerations which we identified for Model 1 and thus, in this section we only consider new factors and questions, including (i) whether a certificate abandonment or amendment is required; (ii) what filings are necessary for the reclassification of base gas to working gas; (iii) whether gas liberated from storage can be sold pursuant to section 284.284 of the Commission’s regulations; and (iv) if the transaction is otherwise free of regulatory requirements, whether there is a reporting requirement.</w:t>
      </w:r>
    </w:p>
    <w:p>
      <w:pPr>
        <w:pStyle w:val="Normal"/>
        <w:rPr/>
      </w:pPr>
      <w:r>
        <w:rPr/>
      </w:r>
    </w:p>
    <w:p>
      <w:pPr>
        <w:pStyle w:val="Normal"/>
        <w:rPr/>
      </w:pPr>
      <w:r>
        <w:rPr/>
        <w:tab/>
      </w:r>
      <w:r>
        <w:br w:type="page"/>
      </w:r>
    </w:p>
    <w:p>
      <w:pPr>
        <w:pStyle w:val="Normal"/>
        <w:ind w:start="720" w:end="0"/>
        <w:rPr>
          <w:b/>
        </w:rPr>
      </w:pPr>
      <w:r>
        <w:rPr>
          <w:b/>
        </w:rPr>
        <w:t>Necessary Filings-Whether Certificate Abandonment or Amendment Authorization is Needed</w:t>
      </w:r>
    </w:p>
    <w:p>
      <w:pPr>
        <w:pStyle w:val="Footer"/>
        <w:tabs>
          <w:tab w:val="clear" w:pos="4320"/>
          <w:tab w:val="clear" w:pos="8640"/>
        </w:tabs>
        <w:rPr>
          <w:b/>
        </w:rPr>
      </w:pPr>
      <w:r>
        <w:rPr>
          <w:b/>
        </w:rPr>
      </w:r>
    </w:p>
    <w:p>
      <w:pPr>
        <w:pStyle w:val="Normal"/>
        <w:rPr/>
      </w:pPr>
      <w:r>
        <w:rPr/>
        <w:tab/>
        <w:t>We believe that Commission authorization under section 7 of the NGA (whether in the form of an amendment or abandonment) is likely to be needed to implement Model 2.  We also conclude that accounting authorization will be needed to record the reclassification of changes from non-current working gas to base gas and that such authorization is not likely to come exclusively from the FERC’s Office of the Chief Accountant.</w:t>
      </w:r>
    </w:p>
    <w:p>
      <w:pPr>
        <w:pStyle w:val="Normal"/>
        <w:rPr/>
      </w:pPr>
      <w:r>
        <w:rPr/>
      </w:r>
    </w:p>
    <w:p>
      <w:pPr>
        <w:pStyle w:val="Normal"/>
        <w:ind w:firstLine="720" w:end="0"/>
        <w:rPr/>
      </w:pPr>
      <w:r>
        <w:rPr/>
        <w:t xml:space="preserve">A review of the underlying Section 7(c) certificate authorization for the specific storage facilities involved will be necessary to determine the specific conditions included on the authorization and related to the storage operations.  In many instances, the Commission identifies the levels of gas or cushioned gas as well as the working gas capacity.  We have reviewed numerous certificate authorizations for storage service.  The more recent of these authorizations, </w:t>
      </w:r>
      <w:r>
        <w:rPr>
          <w:u w:val="single"/>
        </w:rPr>
        <w:t>i.e.</w:t>
      </w:r>
      <w:r>
        <w:rPr/>
        <w:t xml:space="preserve"> over the last 20 years, are much more detailed in describing the storage field operations that are being authorized.  A good indication of this is reflected in Order No. 603-A.  There the Commission stated that deliverability, capacity and storage boundaries are the certificated "parameters" over a storage service under Section 7(c) of the NGA and the underlying regulations.  </w:t>
      </w:r>
      <w:r>
        <w:rPr>
          <w:u w:val="single"/>
        </w:rPr>
        <w:t>Revision of Existing Regulations Under the Natural Gas Act</w:t>
      </w:r>
      <w:r>
        <w:rPr/>
        <w:t>, Order No. 603-A, FERC Stats. &amp; Regs., Regs. Preambles [1996-2000] ¶ 31,094 at 30,922 (2000).  Any proposed material change to these "parameters" will require prior approval under Section 7 of the NGA.</w:t>
      </w:r>
    </w:p>
    <w:p>
      <w:pPr>
        <w:pStyle w:val="Normal"/>
        <w:rPr/>
      </w:pPr>
      <w:r>
        <w:rPr/>
      </w:r>
    </w:p>
    <w:p>
      <w:pPr>
        <w:pStyle w:val="Normal"/>
        <w:rPr/>
      </w:pPr>
      <w:r>
        <w:rPr/>
        <w:tab/>
        <w:t>In view of this, and as a general matter, it is not reasonable to conclude that storage gas can be reclassified from working gas to base or cushion gas without triggering a jurisdictional event under Section 7 of the NGA.  It is our view that this would require an amendment under Section 7(c) to the underlying certificate authorization for the storage field and probably also would include abandonment authorization under Section 7(b) to the extent the capacity of the field was being modified by virtue of the reclassification.  No doubt this would be consistent with the specific certificate authorization underlying the storage field and certainly would be consistent with the Commission's current view of certificate authorization for storage facilities as reflected in Order No. 603-A.  Simply stated, to the extent the storage field "parameters" as stated by the Commission in Order No. 603-A are altered, some prior authorization from the Commission will be required under Section 7.  Accordingly, changes in operating characteristics, configurations, capacity or deliverability must first be approved by the Commission before they can be implemented.</w:t>
      </w:r>
    </w:p>
    <w:p>
      <w:pPr>
        <w:pStyle w:val="Normal"/>
        <w:rPr/>
      </w:pPr>
      <w:r>
        <w:rPr/>
      </w:r>
    </w:p>
    <w:p>
      <w:pPr>
        <w:pStyle w:val="Normal"/>
        <w:rPr/>
      </w:pPr>
      <w:r>
        <w:rPr/>
        <w:tab/>
      </w:r>
      <w:r>
        <w:rPr>
          <w:b/>
        </w:rPr>
        <w:t>Sale of Gas Liberated From Storage Under Section 284.284</w:t>
      </w:r>
    </w:p>
    <w:p>
      <w:pPr>
        <w:pStyle w:val="Normal"/>
        <w:rPr>
          <w:b/>
          <w:u w:val="single"/>
        </w:rPr>
      </w:pPr>
      <w:r>
        <w:rPr>
          <w:b/>
          <w:u w:val="single"/>
        </w:rPr>
      </w:r>
    </w:p>
    <w:p>
      <w:pPr>
        <w:pStyle w:val="Normal"/>
        <w:rPr/>
      </w:pPr>
      <w:r>
        <w:rPr/>
        <w:tab/>
        <w:t xml:space="preserve">Assuming the requisite Section 7(b) and 7(c) authorization is obtained, the base gas freed up will become available for sale.  This is problematic for the pipeline.  In Order No. 636, the Commission promulgated Section 284.284, </w:t>
      </w:r>
      <w:r>
        <w:rPr>
          <w:u w:val="single"/>
        </w:rPr>
        <w:t>et</w:t>
      </w:r>
      <w:r>
        <w:rPr/>
        <w:t xml:space="preserve"> </w:t>
      </w:r>
      <w:r>
        <w:rPr>
          <w:u w:val="single"/>
        </w:rPr>
        <w:t>seq</w:t>
      </w:r>
      <w:r>
        <w:rPr/>
        <w:t xml:space="preserve">. of the regulations which grant pipelines blanket sales authorization.  18 C.F.R. § 284.284, </w:t>
      </w:r>
      <w:r>
        <w:rPr>
          <w:u w:val="single"/>
        </w:rPr>
        <w:t>et</w:t>
      </w:r>
      <w:r>
        <w:rPr/>
        <w:t xml:space="preserve"> </w:t>
      </w:r>
      <w:r>
        <w:rPr>
          <w:u w:val="single"/>
        </w:rPr>
        <w:t>seq</w:t>
      </w:r>
      <w:r>
        <w:rPr/>
        <w:t xml:space="preserve">.  Few pipelines, if any, have exercised this blanket sales authority, opting instead to initiate sales and marketing activities through a separate marketing affiliate.  This is because the Commission requires a separation of pipeline and marketing operating personnel and facilities.  18 CFR section 284.286.   If a pipeline opted to use its blanket certificate authorization under Section 284.284, the Commission would impose even further personnel separation as well as other separation within the pipeline for those responsible for the sales activities.  To the extent pipelines now engage in any sales, they are for routine purposes such as the cash-out provisions of their transportation tariffs or to dispose of overages in the pipeline.  These are considered to be relatively minor in nature and the authorization for them is separately stated in the tariff often included in the "Miscellaneous" provisions of pipeline tariffs.  </w:t>
      </w:r>
    </w:p>
    <w:p>
      <w:pPr>
        <w:pStyle w:val="Normal"/>
        <w:rPr/>
      </w:pPr>
      <w:r>
        <w:rPr/>
      </w:r>
    </w:p>
    <w:p>
      <w:pPr>
        <w:pStyle w:val="Normal"/>
        <w:rPr/>
      </w:pPr>
      <w:r>
        <w:rPr/>
        <w:tab/>
        <w:t xml:space="preserve">For example, the tariff of Trunkline Gas Company specifies that it may make purchases and sales of gas “to the extent necessary to maintain system pressure, to manage system storage, to maintain line pack …” , and that “other sales … will be made pursuant to Trunkline’s blanket [§ 284.284] sales certificate.”  Trunkline Gas Company, FERC Gas Tariff, Section 8.  </w:t>
        <w:tab/>
        <w:t xml:space="preserve">Likewise, the tariff of Panhandle Eastern Pipe Line Company provides that “Panhandle may from time to time sell gas … to dispose of excess storage inventory.”  Panhandle Eastern Pipe Line Company, FERC Gas Tariff, Section 27.5.  </w:t>
      </w:r>
    </w:p>
    <w:p>
      <w:pPr>
        <w:pStyle w:val="Normal"/>
        <w:ind w:firstLine="720" w:end="0"/>
        <w:rPr/>
      </w:pPr>
      <w:r>
        <w:rPr/>
      </w:r>
    </w:p>
    <w:p>
      <w:pPr>
        <w:pStyle w:val="Normal"/>
        <w:ind w:firstLine="720" w:end="0"/>
        <w:rPr>
          <w:u w:val="single"/>
        </w:rPr>
      </w:pPr>
      <w:r>
        <w:rPr>
          <w:u w:val="single"/>
        </w:rPr>
        <w:t>Questar and DTI</w:t>
      </w:r>
    </w:p>
    <w:p>
      <w:pPr>
        <w:pStyle w:val="Normal"/>
        <w:ind w:firstLine="720" w:end="0"/>
        <w:rPr>
          <w:u w:val="single"/>
        </w:rPr>
      </w:pPr>
      <w:r>
        <w:rPr>
          <w:u w:val="single"/>
        </w:rPr>
      </w:r>
    </w:p>
    <w:p>
      <w:pPr>
        <w:pStyle w:val="BodyTextIndent"/>
        <w:rPr/>
      </w:pPr>
      <w:r>
        <w:rPr/>
        <w:t xml:space="preserve">There are no similar provisions in the tariffs of Questar and DTI.  However, Questar’s tariff provides that “Questar shall, as it determines necessary, make periodic adjustment to its storage cushion gas inventory to support the levels of storage service for itself and other customers.”  Questar Pipeline Company FERC Gas Tariff Part 3, Section 15.  Questar may interpret this rather broad language as providing authorization for the disposal of cushion gas.  </w:t>
      </w:r>
    </w:p>
    <w:p>
      <w:pPr>
        <w:pStyle w:val="BodyTextIndent"/>
        <w:rPr/>
      </w:pPr>
      <w:r>
        <w:rPr/>
      </w:r>
    </w:p>
    <w:p>
      <w:pPr>
        <w:pStyle w:val="BodyTextIndent"/>
        <w:rPr/>
      </w:pPr>
      <w:r>
        <w:rPr/>
        <w:t xml:space="preserve">DTI has a separate rate schedule USS. which pertains to the sale of gas.  No doubt, this is DTI’s response to the blanket certificate authorization set forth in Section 284.284 of the regulations.  It is not clear the extent to which DTI has made sales under this rate schedule.  </w:t>
      </w:r>
    </w:p>
    <w:p>
      <w:pPr>
        <w:pStyle w:val="Normal"/>
        <w:rPr/>
      </w:pPr>
      <w:r>
        <w:rPr/>
      </w:r>
    </w:p>
    <w:p>
      <w:pPr>
        <w:pStyle w:val="Normal"/>
        <w:ind w:firstLine="720" w:end="0"/>
        <w:rPr/>
      </w:pPr>
      <w:r>
        <w:rPr/>
        <w:t xml:space="preserve">In sum, if a pipeline were to seek to sell base gas, it probably would want to do so under existing authority in its tariff.  However, as it is not clear whether such authorization would cover the proposed sale of base gas, a pipeline may need to seek specific authority under Section 7.  Alternatively and more practically, the pipeline may indicate in its Section 7 certificate/abandonment application that it is transferring the freed up base gas to its marketing affiliate at book cost, as the Commission approved in </w:t>
      </w:r>
      <w:r>
        <w:rPr>
          <w:u w:val="single"/>
        </w:rPr>
        <w:t>ANR Pipeline Co.</w:t>
      </w:r>
      <w:r>
        <w:rPr/>
        <w:t>, 85 FERC ¶ 62,044 (1998), (discussed above under Model 1), thereby enabling the pipeline’s marketing affiliate to sell the gas outside of open access requirements and avoiding issues relating to whether the pipeline may sell base gas under a pre-arranged deal and satisfy open-access requirements as well as issues relating to the disposition of gain on an asset sale.</w:t>
      </w:r>
    </w:p>
    <w:p>
      <w:pPr>
        <w:pStyle w:val="Heading2"/>
        <w:rPr/>
      </w:pPr>
      <w:r>
        <w:rPr/>
      </w:r>
    </w:p>
    <w:p>
      <w:pPr>
        <w:pStyle w:val="Heading2"/>
        <w:rPr>
          <w:b/>
          <w:u w:val="none"/>
        </w:rPr>
      </w:pPr>
      <w:r>
        <w:rPr>
          <w:b/>
          <w:u w:val="none"/>
        </w:rPr>
        <w:t>Accounting and Other Filings Necessary for Reclassification of Base Gas</w:t>
      </w:r>
    </w:p>
    <w:p>
      <w:pPr>
        <w:pStyle w:val="Normal"/>
        <w:ind w:firstLine="720" w:end="0"/>
        <w:rPr>
          <w:b/>
          <w:u w:val="none"/>
        </w:rPr>
      </w:pPr>
      <w:r>
        <w:rPr>
          <w:b/>
          <w:u w:val="none"/>
        </w:rPr>
      </w:r>
    </w:p>
    <w:p>
      <w:pPr>
        <w:pStyle w:val="Normal"/>
        <w:ind w:firstLine="720" w:end="0"/>
        <w:rPr/>
      </w:pPr>
      <w:r>
        <w:rPr/>
        <w:t xml:space="preserve">As previously noted, in Order No. 603-A the Commission held that deliverability, capacity, and storage boundaries are the certificated "parameters" of a storage field under section 7(c) of the NGA and Part 157 of the regulations.  </w:t>
      </w:r>
      <w:r>
        <w:rPr>
          <w:u w:val="single"/>
        </w:rPr>
        <w:t>Revision of Existing Regulations Under the Natural Gas Act</w:t>
      </w:r>
      <w:r>
        <w:rPr/>
        <w:t>, Order No. 603-A, FERC Stats. &amp; Regs., Regs. Preambles [1996-2000] ¶ 31,094, at 30,922 (2000).  To the extent these parameters will be altered, prior certification authorization is required under section 7(c).  Accordingly, changes in operating characteristics, configuration, capacity or deliverability will require abandonment or certificate amendment.</w:t>
      </w:r>
    </w:p>
    <w:p>
      <w:pPr>
        <w:pStyle w:val="Normal"/>
        <w:ind w:firstLine="720" w:end="0"/>
        <w:rPr/>
      </w:pPr>
      <w:r>
        <w:rPr/>
      </w:r>
    </w:p>
    <w:p>
      <w:pPr>
        <w:pStyle w:val="Normal"/>
        <w:ind w:firstLine="720" w:end="0"/>
        <w:rPr/>
      </w:pPr>
      <w:r>
        <w:rPr/>
        <w:t xml:space="preserve">However, changing the accounting classification of gas in storage, without changing the field’s operating parameters is a change in accounting and inventory valuation.  The Commission must approve inventory valuation changes under Part 201 of the Regulations.  Customarily approval is sought through the Office of the Chief Accountant.  </w:t>
      </w:r>
      <w:r>
        <w:rPr>
          <w:u w:val="single"/>
        </w:rPr>
        <w:t>See generally</w:t>
      </w:r>
      <w:r>
        <w:rPr/>
        <w:t xml:space="preserve"> </w:t>
      </w:r>
      <w:r>
        <w:rPr>
          <w:u w:val="single"/>
        </w:rPr>
        <w:t>ANR Pipeline Co.</w:t>
      </w:r>
      <w:r>
        <w:rPr/>
        <w:t>, 62 FERC ¶ 61, 079 at 61,589 (1993).  Ordinarily, however, the Chief Accountant will not make a final determination.  Rather, he will make a determination subject to the outcome of a rate proceeding, in which other parties can be heard.  As the Commission ordinarily invokes its statutory authority over accounting questions in the context of a rate proceeding, and shippers and other affected intervenors rarely participate in accounting matters at the FERC, rate proceedings are the preferred forum in which final resolution of the substance of questions which underlie accounting matters are determined.</w:t>
      </w:r>
    </w:p>
    <w:p>
      <w:pPr>
        <w:pStyle w:val="Normal"/>
        <w:ind w:firstLine="720" w:end="0"/>
        <w:rPr/>
      </w:pPr>
      <w:r>
        <w:rPr/>
        <w:t xml:space="preserve"> </w:t>
      </w:r>
    </w:p>
    <w:p>
      <w:pPr>
        <w:pStyle w:val="Heading2"/>
        <w:rPr>
          <w:b/>
          <w:u w:val="none"/>
        </w:rPr>
      </w:pPr>
      <w:r>
        <w:rPr>
          <w:b/>
          <w:u w:val="none"/>
        </w:rPr>
        <w:t xml:space="preserve">Reporting Requirements If The Transaction is Otherwise Unregulated </w:t>
      </w:r>
    </w:p>
    <w:p>
      <w:pPr>
        <w:pStyle w:val="Normal"/>
        <w:ind w:firstLine="720" w:end="0"/>
        <w:rPr>
          <w:b/>
          <w:u w:val="none"/>
        </w:rPr>
      </w:pPr>
      <w:r>
        <w:rPr>
          <w:b/>
          <w:u w:val="none"/>
        </w:rPr>
      </w:r>
    </w:p>
    <w:p>
      <w:pPr>
        <w:pStyle w:val="Normal"/>
        <w:ind w:firstLine="720" w:end="0"/>
        <w:rPr>
          <w:u w:val="single"/>
        </w:rPr>
      </w:pPr>
      <w:r>
        <w:rPr/>
        <w:t>As we conclude that there is little likelihood of avoiding Commission authorizations, separate reporting requirements are not considered.</w:t>
      </w:r>
    </w:p>
    <w:p>
      <w:pPr>
        <w:pStyle w:val="Heading1"/>
        <w:ind w:hanging="0" w:start="0"/>
        <w:rPr>
          <w:b/>
          <w:u w:val="none"/>
        </w:rPr>
      </w:pPr>
      <w:r>
        <w:rPr>
          <w:b/>
          <w:u w:val="none"/>
        </w:rPr>
      </w:r>
    </w:p>
    <w:p>
      <w:pPr>
        <w:pStyle w:val="Heading1"/>
        <w:ind w:hanging="0" w:start="0"/>
        <w:rPr>
          <w:b/>
        </w:rPr>
      </w:pPr>
      <w:r>
        <w:rPr>
          <w:b/>
        </w:rPr>
        <w:t>Model 3</w:t>
      </w:r>
    </w:p>
    <w:p>
      <w:pPr>
        <w:pStyle w:val="Normal"/>
        <w:rPr>
          <w:b/>
        </w:rPr>
      </w:pPr>
      <w:r>
        <w:rPr>
          <w:b/>
        </w:rPr>
      </w:r>
    </w:p>
    <w:p>
      <w:pPr>
        <w:pStyle w:val="Normal"/>
        <w:rPr/>
      </w:pPr>
      <w:r>
        <w:rPr/>
        <w:tab/>
        <w:t>Model 3 assumes that a portion of base gas will be removed from storage and replaced with  compression.  This will free the base gas for sale. Model 3 is affected by many of the same considerations which we identified for Model 1 and Model 2 and thus, in this section we only consider new factors and questions, including: (i) filings necessary to install pipeline-owned or Enron-owned compression; (ii) impact on rates and revenue sharing in the absence of physical activity; and (iii) particular consideration applicable to Questar and CNG.</w:t>
      </w:r>
    </w:p>
    <w:p>
      <w:pPr>
        <w:pStyle w:val="Normal"/>
        <w:rPr/>
      </w:pPr>
      <w:r>
        <w:rPr/>
      </w:r>
    </w:p>
    <w:p>
      <w:pPr>
        <w:pStyle w:val="Heading2"/>
        <w:rPr>
          <w:b/>
          <w:u w:val="none"/>
        </w:rPr>
      </w:pPr>
      <w:r>
        <w:rPr>
          <w:b/>
          <w:u w:val="none"/>
        </w:rPr>
        <w:t>Filings Necessary To Install Pipeline-Owned or Enron-Owned Compression</w:t>
      </w:r>
    </w:p>
    <w:p>
      <w:pPr>
        <w:pStyle w:val="Normal"/>
        <w:ind w:firstLine="720" w:end="0"/>
        <w:rPr>
          <w:b/>
          <w:u w:val="none"/>
        </w:rPr>
      </w:pPr>
      <w:r>
        <w:rPr>
          <w:b/>
          <w:u w:val="none"/>
        </w:rPr>
      </w:r>
    </w:p>
    <w:p>
      <w:pPr>
        <w:pStyle w:val="BodyTextIndent"/>
        <w:rPr/>
      </w:pPr>
      <w:r>
        <w:rPr/>
        <w:t>The construction and operation of compression facilities at a jurisdictional storage field will require prior approval in the form of a certificate of public convenience and necessity under Section 7(c) of the NGA.  Similarly, if the base gas is to be removed from jurisdictional service as part of a certificated storage field, abandonment authorization under Section 7(b) of the NGA will be required.  These filings can be combined into one application with the FERC.</w:t>
      </w:r>
    </w:p>
    <w:p>
      <w:pPr>
        <w:pStyle w:val="Normal"/>
        <w:ind w:firstLine="720" w:end="0"/>
        <w:rPr/>
      </w:pPr>
      <w:r>
        <w:rPr/>
      </w:r>
    </w:p>
    <w:p>
      <w:pPr>
        <w:pStyle w:val="Normal"/>
        <w:ind w:firstLine="720" w:end="0"/>
        <w:rPr/>
      </w:pPr>
      <w:r>
        <w:rPr/>
        <w:t xml:space="preserve">If it is intended that the pipeline will not actually own or install the compression but instead that the compression will be provided by a third party (perhaps, an affiliate of  ENA) then the requisite Section 7 certificate authorization will have to be modified to reflect this arrangement.  But this does not change the need for the pipeline, as owner or lessee, to seek authorization under Section 7. </w:t>
      </w:r>
    </w:p>
    <w:p>
      <w:pPr>
        <w:pStyle w:val="Normal"/>
        <w:ind w:firstLine="720" w:end="0"/>
        <w:rPr/>
      </w:pPr>
      <w:r>
        <w:rPr/>
      </w:r>
    </w:p>
    <w:p>
      <w:pPr>
        <w:pStyle w:val="Normal"/>
        <w:ind w:firstLine="720" w:end="0"/>
        <w:rPr/>
      </w:pPr>
      <w:r>
        <w:rPr/>
        <w:t xml:space="preserve">There is no specific language in Section 7 of the NGA referencing the leasing by or to an interstate pipeline.  However, the Commission has held that a company acquiring base gas through a lease arrangement with an interstate pipeline is required to obtain a Section 7(c)  certificate authorization under the NGA.  </w:t>
      </w:r>
      <w:r>
        <w:rPr>
          <w:u w:val="single"/>
        </w:rPr>
        <w:t xml:space="preserve">Panhandle Eastern Pipe Line Co. and Pan Gas Storage Co., d.b.a. Southwest Gas Storage Co., </w:t>
      </w:r>
      <w:r>
        <w:rPr/>
        <w:t xml:space="preserve"> 53 FERC ¶ 61.227 (1990) ; </w:t>
      </w:r>
      <w:r>
        <w:rPr>
          <w:u w:val="single"/>
        </w:rPr>
        <w:t xml:space="preserve">CNG Transmission Corp., et al., </w:t>
      </w:r>
      <w:r>
        <w:rPr/>
        <w:t xml:space="preserve">51 FERC ¶ 61.267 (1990).  In </w:t>
      </w:r>
      <w:r>
        <w:rPr>
          <w:u w:val="single"/>
        </w:rPr>
        <w:t>Panhandle</w:t>
      </w:r>
      <w:r>
        <w:rPr/>
        <w:t xml:space="preserve">, the Commission approved Panhandle’s proposal to lease 1,000,000 Mcf of cushion gas to Southwest Gas Storage Company (Southwest) for purposes of allowing Southwest to provide open access storage services.  While Panhandle sought the certificate authorization to act as lessor of the cushion gas, the Commission held that the certificate must be issued to Southwest.  The Commission explained that “[s]ince Southwest is the party acquiring  the asset in question … the certificate is more properly issued to Southwest, and we will construe the parties’ joint application accordingly.”  53 FERC at 61,949-50 (footnote omitted).  The Commission’s decision is consistent with other precedent holding that companies seeking to lease facilities or capacity are required to obtain section 7(c) authorization.  </w:t>
      </w:r>
      <w:r>
        <w:rPr>
          <w:u w:val="single"/>
        </w:rPr>
        <w:t>Dauphin Island Gathering Partners and Texas Eastern Transmission Corp</w:t>
      </w:r>
      <w:r>
        <w:rPr/>
        <w:t xml:space="preserve">., 87 FERC ¶ 61,078 (1999); </w:t>
      </w:r>
      <w:r>
        <w:rPr>
          <w:u w:val="single"/>
        </w:rPr>
        <w:t>Granite State Gas Transmission, Inc.,</w:t>
      </w:r>
      <w:r>
        <w:rPr/>
        <w:t xml:space="preserve"> 69 FERC ¶ 61,186 (1994).</w:t>
      </w:r>
    </w:p>
    <w:p>
      <w:pPr>
        <w:pStyle w:val="Normal"/>
        <w:ind w:firstLine="720" w:end="0"/>
        <w:rPr/>
      </w:pPr>
      <w:r>
        <w:rPr/>
      </w:r>
    </w:p>
    <w:p>
      <w:pPr>
        <w:pStyle w:val="Normal"/>
        <w:ind w:firstLine="720" w:end="0"/>
        <w:rPr/>
      </w:pPr>
      <w:r>
        <w:rPr/>
        <w:t xml:space="preserve">In addition, the Commission has held that non-jurisdictional entities do not need certificate authorization to lease facilities to an interstate pipeline.  </w:t>
      </w:r>
      <w:r>
        <w:rPr>
          <w:u w:val="single"/>
        </w:rPr>
        <w:t>Montana-Dakota Utilities</w:t>
      </w:r>
      <w:r>
        <w:rPr/>
        <w:t xml:space="preserve">, </w:t>
      </w:r>
      <w:r>
        <w:rPr>
          <w:u w:val="single"/>
        </w:rPr>
        <w:t>et</w:t>
      </w:r>
      <w:r>
        <w:rPr/>
        <w:t xml:space="preserve">. </w:t>
      </w:r>
      <w:r>
        <w:rPr>
          <w:u w:val="single"/>
        </w:rPr>
        <w:t>al</w:t>
      </w:r>
      <w:r>
        <w:rPr/>
        <w:t xml:space="preserve"> 8 F.P.C. 409 (1949; see also Natural Gas Pipeline Company, et. al, Opinion Number 480, 43 F.P.C. 1258 (1965).</w:t>
      </w:r>
    </w:p>
    <w:p>
      <w:pPr>
        <w:pStyle w:val="Normal"/>
        <w:ind w:firstLine="720" w:end="0"/>
        <w:rPr/>
      </w:pPr>
      <w:r>
        <w:rPr/>
      </w:r>
    </w:p>
    <w:p>
      <w:pPr>
        <w:pStyle w:val="Normal"/>
        <w:ind w:firstLine="720" w:end="0"/>
        <w:rPr/>
      </w:pPr>
      <w:r>
        <w:rPr/>
        <w:t>Assuming, requisite certificate and abandonment authorization is obtained, the subsequent sale of the base gas can be accomplished in a manner similar to that discussed in the previous section concerning Model 2.</w:t>
      </w:r>
    </w:p>
    <w:p>
      <w:pPr>
        <w:pStyle w:val="Normal"/>
        <w:ind w:firstLine="720" w:end="0"/>
        <w:rPr/>
      </w:pPr>
      <w:r>
        <w:rPr/>
        <w:t xml:space="preserve"> </w:t>
      </w:r>
    </w:p>
    <w:p>
      <w:pPr>
        <w:pStyle w:val="Heading2"/>
        <w:rPr>
          <w:b/>
          <w:u w:val="none"/>
        </w:rPr>
      </w:pPr>
      <w:r>
        <w:rPr>
          <w:b/>
          <w:u w:val="none"/>
        </w:rPr>
        <w:t>Impact On Rates and Revenue Sharing In The Absence of Physical Activity</w:t>
      </w:r>
    </w:p>
    <w:p>
      <w:pPr>
        <w:pStyle w:val="Normal"/>
        <w:ind w:firstLine="720" w:end="0"/>
        <w:rPr>
          <w:b/>
          <w:u w:val="none"/>
        </w:rPr>
      </w:pPr>
      <w:r>
        <w:rPr>
          <w:b/>
          <w:u w:val="none"/>
        </w:rPr>
      </w:r>
    </w:p>
    <w:p>
      <w:pPr>
        <w:pStyle w:val="Normal"/>
        <w:ind w:firstLine="720" w:end="0"/>
        <w:rPr/>
      </w:pPr>
      <w:r>
        <w:rPr/>
        <w:t xml:space="preserve">We assume that there is no tracker or settlement mechanism in place automatically adjusting rates for changes in the costs at issue.  Ordinarily, apparent cost reductions occasioned by abandonments do not give rise to immediate rate adjustments, even if the accounting changes are reflected promptly.  </w:t>
      </w:r>
      <w:r>
        <w:rPr>
          <w:u w:val="single"/>
        </w:rPr>
        <w:t>See</w:t>
      </w:r>
      <w:r>
        <w:rPr/>
        <w:t xml:space="preserve"> discussion of </w:t>
      </w:r>
      <w:r>
        <w:rPr>
          <w:u w:val="single"/>
        </w:rPr>
        <w:t>Columbia Gas Transmission Corp.</w:t>
      </w:r>
      <w:r>
        <w:rPr/>
        <w:t xml:space="preserve">, 96 FERC ¶ 61,082 (July 16, 2001) in the section on Model 1, note 8.  The same would be true if the cost of service or rate effect of the compression services substituted for base gas shows an increase over the return allowance permitted for the inclusion of base gas in rate base.  Rates are determined in a rate case (under either NGA section 4 or section 5).   </w:t>
      </w:r>
    </w:p>
    <w:p>
      <w:pPr>
        <w:pStyle w:val="Normal"/>
        <w:ind w:firstLine="720" w:end="0"/>
        <w:rPr/>
      </w:pPr>
      <w:r>
        <w:rPr/>
      </w:r>
    </w:p>
    <w:p>
      <w:pPr>
        <w:pStyle w:val="Normal"/>
        <w:ind w:firstLine="720" w:end="0"/>
        <w:rPr/>
      </w:pPr>
      <w:r>
        <w:rPr/>
        <w:t xml:space="preserve">Essentially, the same is true for the recognition of net revenues from the sale of base gas.  Many pipeline have miscellaneous revenue crediting or flow-through provisions in their tariffs, however.  Some are intended to provide a credit against maximum rates paid to customers and others flow-through revenues in other forms, including periodic payments.  Miscellaneous revenues ordinarily include cash-outs, penalty revenues, and revenues from interruptible service, however, each tariff provision was drafted with particular circumstances in mind.  We note that some pipelines have settlements which provide for the treatment of revenues from the sale of base gas or more generally.  </w:t>
      </w:r>
      <w:r>
        <w:rPr>
          <w:u w:val="single"/>
        </w:rPr>
        <w:t>See e.g.</w:t>
      </w:r>
      <w:r>
        <w:rPr/>
        <w:t xml:space="preserve"> Columbia, discussed in the Model 1 section.  </w:t>
      </w:r>
    </w:p>
    <w:p>
      <w:pPr>
        <w:pStyle w:val="Normal"/>
        <w:ind w:firstLine="720" w:end="0"/>
        <w:rPr/>
      </w:pPr>
      <w:r>
        <w:rPr/>
      </w:r>
    </w:p>
    <w:p>
      <w:pPr>
        <w:pStyle w:val="Heading2"/>
        <w:rPr>
          <w:b/>
          <w:u w:val="none"/>
        </w:rPr>
      </w:pPr>
      <w:r>
        <w:rPr>
          <w:b/>
          <w:u w:val="none"/>
        </w:rPr>
        <w:t>Questar</w:t>
      </w:r>
    </w:p>
    <w:p>
      <w:pPr>
        <w:pStyle w:val="Normal"/>
        <w:ind w:firstLine="720" w:end="0"/>
        <w:rPr>
          <w:b/>
          <w:u w:val="none"/>
        </w:rPr>
      </w:pPr>
      <w:r>
        <w:rPr>
          <w:b/>
          <w:u w:val="none"/>
        </w:rPr>
      </w:r>
    </w:p>
    <w:p>
      <w:pPr>
        <w:pStyle w:val="Normal"/>
        <w:ind w:firstLine="720" w:end="0"/>
        <w:rPr/>
      </w:pPr>
      <w:r>
        <w:rPr/>
        <w:t>Section 17 of Part 3 of the General Terms and Conditions of Questar’s Tariff sets forth an interruptible storage service revenue credit mechanism for firm storage customers, but does not otherwise require revenue crediting.  The March 8. 1996 settlement in Questar’s last rate case, Docket No. RP95-407-007 has no unusual revenue crediting provisions.</w:t>
      </w:r>
    </w:p>
    <w:p>
      <w:pPr>
        <w:pStyle w:val="Normal"/>
        <w:ind w:firstLine="720" w:end="0"/>
        <w:rPr/>
      </w:pPr>
      <w:r>
        <w:rPr/>
      </w:r>
    </w:p>
    <w:p>
      <w:pPr>
        <w:pStyle w:val="Heading2"/>
        <w:rPr>
          <w:b/>
          <w:u w:val="none"/>
        </w:rPr>
      </w:pPr>
      <w:r>
        <w:rPr>
          <w:b/>
          <w:u w:val="none"/>
        </w:rPr>
        <w:t>CNG</w:t>
      </w:r>
    </w:p>
    <w:p>
      <w:pPr>
        <w:pStyle w:val="Normal"/>
        <w:ind w:firstLine="720" w:end="0"/>
        <w:rPr>
          <w:b/>
          <w:u w:val="none"/>
        </w:rPr>
      </w:pPr>
      <w:r>
        <w:rPr>
          <w:b/>
          <w:u w:val="none"/>
        </w:rPr>
      </w:r>
    </w:p>
    <w:p>
      <w:pPr>
        <w:pStyle w:val="Normal"/>
        <w:ind w:firstLine="720" w:end="0"/>
        <w:rPr/>
      </w:pPr>
      <w:r>
        <w:rPr/>
        <w:t xml:space="preserve">CNG’s August 31, 1998 settlement in Docket Nos. RP97-406-018, </w:t>
      </w:r>
      <w:r>
        <w:rPr>
          <w:u w:val="single"/>
        </w:rPr>
        <w:t>et al.</w:t>
      </w:r>
      <w:r>
        <w:rPr/>
        <w:t xml:space="preserve"> provides that if CNG sells base gas while the settlement remains in effect, that CNG will retain the proceeds up to book value, will credit net proceeds in excess of book to its customers equal to the amount of stranded cost recovery, and credit half of any additional proceeds, retaining the remaining half.   A June 22, 2001 settlement of DTI’s (formerly CNG) Docket No. RP00-632-003, </w:t>
      </w:r>
      <w:r>
        <w:rPr>
          <w:u w:val="single"/>
        </w:rPr>
        <w:t>et al.</w:t>
      </w:r>
      <w:r>
        <w:rPr/>
        <w:t xml:space="preserve"> exempted from the earlier settlement certain base gas which DTI was required to reclassify as part of an expansion project. </w:t>
      </w:r>
    </w:p>
    <w:p>
      <w:pPr>
        <w:pStyle w:val="Normal"/>
        <w:ind w:firstLine="720" w:end="0"/>
        <w:rPr>
          <w:b/>
        </w:rPr>
      </w:pPr>
      <w:r>
        <w:rPr>
          <w:b/>
        </w:rPr>
      </w:r>
    </w:p>
    <w:p>
      <w:pPr>
        <w:pStyle w:val="Heading1"/>
        <w:ind w:hanging="0" w:start="0"/>
        <w:rPr>
          <w:b/>
        </w:rPr>
      </w:pPr>
      <w:r>
        <w:rPr>
          <w:b/>
        </w:rPr>
        <w:t>Model 4</w:t>
      </w:r>
    </w:p>
    <w:p>
      <w:pPr>
        <w:pStyle w:val="Normal"/>
        <w:rPr>
          <w:b/>
        </w:rPr>
      </w:pPr>
      <w:r>
        <w:rPr>
          <w:b/>
        </w:rPr>
      </w:r>
    </w:p>
    <w:p>
      <w:pPr>
        <w:pStyle w:val="Normal"/>
        <w:rPr/>
      </w:pPr>
      <w:r>
        <w:rPr/>
        <w:tab/>
        <w:t>Model 4 assumes that the function of base gas can be replaced by Pressure Service Agreements (PSA) which are intended to guarantee the same level of service to shippers and storage users, thereby freeing base gas for sale.   In fact, the PSA is a financial instrument rather than a storage service. At the conclusion of a pre-determined time the base gas will be resold to the pipeline at market rates.</w:t>
      </w:r>
    </w:p>
    <w:p>
      <w:pPr>
        <w:pStyle w:val="Normal"/>
        <w:rPr/>
      </w:pPr>
      <w:r>
        <w:rPr/>
      </w:r>
    </w:p>
    <w:p>
      <w:pPr>
        <w:pStyle w:val="Normal"/>
        <w:ind w:firstLine="720" w:end="0"/>
        <w:rPr/>
      </w:pPr>
      <w:r>
        <w:rPr/>
        <w:t>Model 4 is affected by many of the same considerations which we identified for Model 1, Model 2 and Model 3.  In this section we consider new factors and questions, including (i) what filings are necessary for the PSA; (ii) what will be the FERC’s perception if the pipeline does not hedge the buy back gas; and (iii) whether the full volumes can be re-introduced into rate base at their then-present market price at the expiration of the PSA.</w:t>
      </w:r>
    </w:p>
    <w:p>
      <w:pPr>
        <w:pStyle w:val="Normal"/>
        <w:rPr/>
      </w:pPr>
      <w:r>
        <w:rPr/>
      </w:r>
    </w:p>
    <w:p>
      <w:pPr>
        <w:pStyle w:val="Heading1"/>
        <w:ind w:firstLine="720" w:start="0" w:end="0"/>
        <w:rPr>
          <w:b/>
          <w:u w:val="none"/>
        </w:rPr>
      </w:pPr>
      <w:r>
        <w:rPr>
          <w:b/>
          <w:u w:val="none"/>
        </w:rPr>
        <w:t>Filings Necessary For The PSA</w:t>
      </w:r>
    </w:p>
    <w:p>
      <w:pPr>
        <w:pStyle w:val="Normal"/>
        <w:rPr>
          <w:b/>
          <w:u w:val="none"/>
        </w:rPr>
      </w:pPr>
      <w:r>
        <w:rPr>
          <w:b/>
          <w:u w:val="none"/>
        </w:rPr>
      </w:r>
    </w:p>
    <w:p>
      <w:pPr>
        <w:pStyle w:val="Normal"/>
        <w:rPr/>
      </w:pPr>
      <w:r>
        <w:rPr/>
        <w:tab/>
        <w:t xml:space="preserve">We conclude that even though the operating parameters of the storage field will not change and even though the former owner of the base gas will, in essence become the lessee of the base gas, as the ownership of a facility essential for the operation of the storage field will change, abandonment or amendment of the certificate will have to be authorized.   This is so because the pipeline would be changing the ownership of a facility essential for the operation of the storage field, -- the base gas, -- and would also be changing the manner in which it provides the service related to the base gas.  </w:t>
      </w:r>
    </w:p>
    <w:p>
      <w:pPr>
        <w:pStyle w:val="Normal"/>
        <w:rPr/>
      </w:pPr>
      <w:r>
        <w:rPr/>
      </w:r>
    </w:p>
    <w:p>
      <w:pPr>
        <w:pStyle w:val="Normal"/>
        <w:ind w:firstLine="720" w:end="0"/>
        <w:rPr/>
      </w:pPr>
      <w:r>
        <w:rPr/>
        <w:t xml:space="preserve">As discussed previously, under Section 7 of the NGA, authorization is required to abandon service on facilities subject to the jurisdiction of the NGA.  Likewise, Section 7(c) of the NGA requires certificate authorization with respect to the acquisition, operation, or construction of jurisdictional facilities.  This would apply to the base gas.  It would appear that however the transaction ultimately is structured, it would be viewed by the FERC as being the functional equivalent of a lease arrangement in that the pipeline is continuing to provide the service but is substituting the use of facilities owned by another for its ownership of jurisdictional facilities. As a consequence, the pipeline must file under section 7 and essentially seek authorization for the abandonment of the base gas as well as authorization to use the base gas to implement the PSA.  </w:t>
      </w:r>
    </w:p>
    <w:p>
      <w:pPr>
        <w:pStyle w:val="Normal"/>
        <w:ind w:firstLine="720" w:end="0"/>
        <w:rPr/>
      </w:pPr>
      <w:r>
        <w:rPr/>
      </w:r>
    </w:p>
    <w:p>
      <w:pPr>
        <w:pStyle w:val="Normal"/>
        <w:ind w:firstLine="720" w:end="0"/>
        <w:rPr/>
      </w:pPr>
      <w:r>
        <w:rPr/>
        <w:t>In its application, the pipeline will be required to explain the PSA as well as to provide assurance that there is no risk associated with the substitution of the PSA for base gas ownership.  Essentially, the pipeline must obtain a determination that the PSA arrangement passes muster under the public convenience and necessity standard of section 7 (c). As explained previously, the Commission has held in analogous situations that the pipeline lessee is responsible for the section 7 certificate authorization.  As a corollary, the lessor need not obtain certificate authorization and in fact need not be a jurisdictional entity under the NGA.  In any event, the PSA will be an integral component of the restructured operation of the storage field and thus, it cannot readily evade Commission scrutiny.</w:t>
      </w:r>
    </w:p>
    <w:p>
      <w:pPr>
        <w:pStyle w:val="Normal"/>
        <w:rPr>
          <w:b/>
        </w:rPr>
      </w:pPr>
      <w:r>
        <w:rPr>
          <w:b/>
        </w:rPr>
      </w:r>
    </w:p>
    <w:p>
      <w:pPr>
        <w:pStyle w:val="Normal"/>
        <w:rPr/>
      </w:pPr>
      <w:r>
        <w:rPr>
          <w:b/>
        </w:rPr>
        <w:tab/>
      </w:r>
      <w:r>
        <w:rPr/>
        <w:t xml:space="preserve">We note that in </w:t>
      </w:r>
      <w:r>
        <w:rPr>
          <w:u w:val="single"/>
        </w:rPr>
        <w:t>Equitrans</w:t>
      </w:r>
      <w:r>
        <w:rPr/>
        <w:t xml:space="preserve">, the pipeline agreed to provide specific guarantees and financial assurances to protect storage field users from damage to the operating characteristics of the field.  Here, so long as the actual operation of the field will not change—and through the PSA, the pipeline will have assurances of continued operating authority (or the ability to direct operating authority), providing financial assurances are likely to be considered an acceptable protection by the Commission. </w:t>
      </w:r>
    </w:p>
    <w:p>
      <w:pPr>
        <w:pStyle w:val="Normal"/>
        <w:rPr/>
      </w:pPr>
      <w:r>
        <w:rPr/>
      </w:r>
    </w:p>
    <w:p>
      <w:pPr>
        <w:pStyle w:val="Heading7"/>
        <w:rPr/>
      </w:pPr>
      <w:r>
        <w:rPr/>
        <w:t xml:space="preserve">FERC’s Perception If Pipeline Fails To Hedge Buy Back Gas </w:t>
      </w:r>
    </w:p>
    <w:p>
      <w:pPr>
        <w:pStyle w:val="Normal"/>
        <w:ind w:firstLine="720" w:end="0"/>
        <w:rPr/>
      </w:pPr>
      <w:r>
        <w:rPr/>
      </w:r>
    </w:p>
    <w:p>
      <w:pPr>
        <w:pStyle w:val="Normal"/>
        <w:ind w:firstLine="720" w:end="0"/>
        <w:rPr/>
      </w:pPr>
      <w:r>
        <w:rPr/>
        <w:t>The Commission is likely to view the failure to hedge buy back gas as a risk that the pipeline would have to take accept, and from which storage customers would be insulated.</w:t>
      </w:r>
    </w:p>
    <w:p>
      <w:pPr>
        <w:pStyle w:val="Normal"/>
        <w:ind w:firstLine="720" w:end="0"/>
        <w:rPr/>
      </w:pPr>
      <w:r>
        <w:rPr/>
      </w:r>
    </w:p>
    <w:p>
      <w:pPr>
        <w:pStyle w:val="Heading7"/>
        <w:rPr/>
      </w:pPr>
      <w:r>
        <w:rPr/>
        <w:t>Getting Full Volumes at Market Prices at Expiration of PSA</w:t>
        <w:tab/>
      </w:r>
    </w:p>
    <w:p>
      <w:pPr>
        <w:pStyle w:val="Normal"/>
        <w:ind w:start="720" w:end="0"/>
        <w:rPr/>
      </w:pPr>
      <w:r>
        <w:rPr/>
      </w:r>
    </w:p>
    <w:p>
      <w:pPr>
        <w:pStyle w:val="Normal"/>
        <w:ind w:firstLine="720" w:end="0"/>
        <w:rPr/>
      </w:pPr>
      <w:r>
        <w:rPr/>
        <w:t>The Commission is not likely to permit a pipeline to sell a functioning, operating asset at a gain, retain the gain and then after a period of time permit the pipeline to re-purchase the same asset at an elevated price, while recovering the detriments from its ratepayers, without a clear and convincing showing of tangible compensatory benefits to ratepayers.</w:t>
      </w:r>
    </w:p>
    <w:p>
      <w:pPr>
        <w:pStyle w:val="Normal"/>
        <w:ind w:firstLine="720" w:end="0"/>
        <w:rPr/>
      </w:pPr>
      <w:r>
        <w:rPr/>
      </w:r>
    </w:p>
    <w:p>
      <w:pPr>
        <w:pStyle w:val="BodyTextIndent"/>
        <w:rPr/>
      </w:pPr>
      <w:r>
        <w:rPr/>
        <w:t xml:space="preserve">The treatment of the acquisition of utility property at a premium over book value has a long and rich history in regulation, stemming from the abuses that contributed to the stock market crash of 1929.  During the 1920's many utility properties were acquired at prices in excess of book cost to the seller, leading to an increase in the cost of utility plant, as recorded on the books of the buyer.  The structure of holding companies made it virtually impossible for state governments or the federal government to oversee the accounting involved in transactions of holding companies.   </w:t>
      </w:r>
    </w:p>
    <w:p>
      <w:pPr>
        <w:pStyle w:val="BodyTextIndent"/>
        <w:rPr/>
      </w:pPr>
      <w:r>
        <w:rPr/>
      </w:r>
    </w:p>
    <w:p>
      <w:pPr>
        <w:pStyle w:val="BodyTextIndent"/>
        <w:rPr/>
      </w:pPr>
      <w:r>
        <w:rPr/>
        <w:t xml:space="preserve">In 1928, a year before the stock market crashed, the Federal Trade Commission (“FTC”) conducted an investigation into the possibility of federal regulation over holding companies, and discovered financial and accounting abuses.  This investigation and the stock market crash of 1929, led to the establishment of uniform accounting standards to prevent utilities from including a marked-up acquisition premium in their rate base passed through to their customers, and to maintain a record of the original cost of an electric property. Eric L. Kohler, </w:t>
      </w:r>
      <w:r>
        <w:rPr>
          <w:u w:val="single"/>
        </w:rPr>
        <w:t>Development of Accounting for Regulatory Purposes By the Federal Power Commission</w:t>
      </w:r>
      <w:r>
        <w:rPr/>
        <w:t xml:space="preserve">, 14 Geo. Wash. L. Rev. 152, 163 (1945).  Garfield and Lovejoy, </w:t>
      </w:r>
      <w:r>
        <w:rPr>
          <w:u w:val="single"/>
        </w:rPr>
        <w:t>Public Utility Economics</w:t>
      </w:r>
      <w:r>
        <w:rPr/>
        <w:t xml:space="preserve"> at 88-89.</w:t>
      </w:r>
    </w:p>
    <w:p>
      <w:pPr>
        <w:pStyle w:val="Normal"/>
        <w:rPr/>
      </w:pPr>
      <w:r>
        <w:rPr/>
      </w:r>
    </w:p>
    <w:p>
      <w:pPr>
        <w:pStyle w:val="Normal"/>
        <w:rPr/>
      </w:pPr>
      <w:r>
        <w:rPr>
          <w:i/>
        </w:rPr>
        <w:tab/>
      </w:r>
      <w:r>
        <w:rPr>
          <w:u w:val="single"/>
        </w:rPr>
        <w:t>Federal Regulation and Accounting Standards</w:t>
      </w:r>
    </w:p>
    <w:p>
      <w:pPr>
        <w:pStyle w:val="Normal"/>
        <w:rPr/>
      </w:pPr>
      <w:r>
        <w:rPr/>
      </w:r>
    </w:p>
    <w:p>
      <w:pPr>
        <w:pStyle w:val="Normal"/>
        <w:rPr/>
      </w:pPr>
      <w:r>
        <w:rPr/>
        <w:tab/>
        <w:t xml:space="preserve">In the aftermath of the stock market crash of 1929, Federal and state governments examined public utility accounting standards and prescribed accounting systems with stringent requirements respecting the determination of property costs, with emphasis placed upon disclosing original construction cost.  When the NGA was enacted, Congress granted authority to the Federal Power Commission (“FPC”) to develop accounting procedures for gas companies.   The accounting procedures required the division of gas property into separate accounts as well as accounting on an original cost basis.  Garfield and Lovejoy, </w:t>
      </w:r>
      <w:r>
        <w:rPr>
          <w:u w:val="single"/>
        </w:rPr>
        <w:t>supra</w:t>
      </w:r>
      <w:r>
        <w:rPr/>
        <w:t>, at 89.</w:t>
      </w:r>
    </w:p>
    <w:p>
      <w:pPr>
        <w:pStyle w:val="Normal"/>
        <w:rPr/>
      </w:pPr>
      <w:r>
        <w:rPr/>
      </w:r>
    </w:p>
    <w:p>
      <w:pPr>
        <w:pStyle w:val="Normal"/>
        <w:rPr/>
      </w:pPr>
      <w:r>
        <w:rPr/>
        <w:tab/>
        <w:t xml:space="preserve">Under the Uniform System of Accounts natural gas companies are required to record plant accounts based on original cost accounting, which is defined as the cost to the predecessor owner who first devoted the particular property to public service.  18 CFR Part 201.  By adopting original cost accounting, state and federal regulators sought to eliminate write-ups, perpetuate records of the original cost of plant, and discourage inflation.  </w:t>
      </w:r>
      <w:r>
        <w:rPr>
          <w:u w:val="single"/>
        </w:rPr>
        <w:t>Id.</w:t>
      </w:r>
      <w:r>
        <w:rPr/>
        <w:t xml:space="preserve">; Kohler, </w:t>
      </w:r>
      <w:r>
        <w:rPr>
          <w:u w:val="single"/>
        </w:rPr>
        <w:t>supra</w:t>
      </w:r>
      <w:r>
        <w:rPr/>
        <w:t>, at 158, n. 15.  Without original cost accounting, the FPC has stated that:</w:t>
      </w:r>
    </w:p>
    <w:p>
      <w:pPr>
        <w:pStyle w:val="Normal"/>
        <w:rPr/>
      </w:pPr>
      <w:r>
        <w:rPr/>
      </w:r>
    </w:p>
    <w:p>
      <w:pPr>
        <w:pStyle w:val="Normal"/>
        <w:ind w:start="1440" w:end="1440"/>
        <w:rPr/>
      </w:pPr>
      <w:r>
        <w:rPr/>
        <w:t>all that need be done to raise rates and obtain greater income would be to have one company buy utility properties from another at a higher price than original cost and in this very simple way increase the size of the rate base and increase the cost of service to consumers.</w:t>
      </w:r>
    </w:p>
    <w:p>
      <w:pPr>
        <w:pStyle w:val="Normal"/>
        <w:rPr/>
      </w:pPr>
      <w:r>
        <w:rPr/>
      </w:r>
    </w:p>
    <w:p>
      <w:pPr>
        <w:pStyle w:val="Normal"/>
        <w:rPr/>
      </w:pPr>
      <w:r>
        <w:rPr>
          <w:u w:val="single"/>
        </w:rPr>
        <w:t>Montana Power Co.</w:t>
      </w:r>
      <w:r>
        <w:rPr/>
        <w:t xml:space="preserve">, 599 F.2d 295, 300 (9th Cir. 1979) (citing </w:t>
      </w:r>
      <w:r>
        <w:rPr>
          <w:u w:val="single"/>
        </w:rPr>
        <w:t>United Gas Pipe Line Co.</w:t>
      </w:r>
      <w:r>
        <w:rPr/>
        <w:t>, 25 FPC 26, 64 (1961)).</w:t>
      </w:r>
      <w:r>
        <w:rPr>
          <w:rStyle w:val="FootnoteCharacters"/>
          <w:rStyle w:val="FootnoteReference"/>
        </w:rPr>
        <w:footnoteReference w:id="14"/>
      </w:r>
    </w:p>
    <w:p>
      <w:pPr>
        <w:pStyle w:val="Normal"/>
        <w:rPr/>
      </w:pPr>
      <w:r>
        <w:rPr/>
      </w:r>
    </w:p>
    <w:p>
      <w:pPr>
        <w:pStyle w:val="Normal"/>
        <w:rPr/>
      </w:pPr>
      <w:r>
        <w:rPr/>
        <w:tab/>
        <w:tab/>
      </w:r>
      <w:r>
        <w:rPr>
          <w:u w:val="single"/>
        </w:rPr>
        <w:t>Current Standards</w:t>
      </w:r>
    </w:p>
    <w:p>
      <w:pPr>
        <w:pStyle w:val="Normal"/>
        <w:rPr/>
      </w:pPr>
      <w:r>
        <w:rPr/>
        <w:tab/>
        <w:tab/>
        <w:tab/>
        <w:tab/>
        <w:tab/>
        <w:tab/>
        <w:tab/>
      </w:r>
    </w:p>
    <w:p>
      <w:pPr>
        <w:pStyle w:val="Normal"/>
        <w:rPr/>
      </w:pPr>
      <w:r>
        <w:rPr/>
        <w:tab/>
        <w:t xml:space="preserve">When a utility acquires property that previously has been devoted to public service, the Commission has conditioned approval of such transactions on the utility recording its purchases in accounts based on original cost accounting.  16 U.S.C. § 825 (1997); 18 CFR Part 101 (1997); </w:t>
      </w:r>
      <w:r>
        <w:rPr>
          <w:u w:val="single"/>
        </w:rPr>
        <w:t>See</w:t>
      </w:r>
      <w:r>
        <w:rPr/>
        <w:t xml:space="preserve"> </w:t>
      </w:r>
      <w:r>
        <w:rPr>
          <w:u w:val="single"/>
        </w:rPr>
        <w:t>Union Electric Co.</w:t>
      </w:r>
      <w:r>
        <w:rPr/>
        <w:t xml:space="preserve">, 56 FERC ¶ 62,076 (1991); </w:t>
      </w:r>
      <w:r>
        <w:rPr>
          <w:u w:val="single"/>
        </w:rPr>
        <w:t>Utilicorp. United, Inc.</w:t>
      </w:r>
      <w:r>
        <w:rPr/>
        <w:t xml:space="preserve">, 56 FERC ¶ 61,031 (1991); </w:t>
      </w:r>
      <w:r>
        <w:rPr>
          <w:u w:val="single"/>
        </w:rPr>
        <w:t>Georgia Power Co.</w:t>
      </w:r>
      <w:r>
        <w:rPr/>
        <w:t xml:space="preserve">, 52 FERC ¶ 62,038 (1990); </w:t>
      </w:r>
      <w:r>
        <w:rPr>
          <w:u w:val="single"/>
        </w:rPr>
        <w:t>Interstate Power Co.</w:t>
      </w:r>
      <w:r>
        <w:rPr/>
        <w:t>, 26 FERC ¶ 61,328 (1984).</w:t>
      </w:r>
    </w:p>
    <w:p>
      <w:pPr>
        <w:pStyle w:val="Normal"/>
        <w:rPr/>
      </w:pPr>
      <w:r>
        <w:rPr/>
      </w:r>
    </w:p>
    <w:p>
      <w:pPr>
        <w:pStyle w:val="Normal"/>
        <w:rPr/>
      </w:pPr>
      <w:r>
        <w:rPr/>
        <w:tab/>
        <w:t xml:space="preserve">A utility may seek to include the acquisition premium in its rate base in a rate proceeding.  However, a utility acquiring property at less than book value may only include in its rate base the lower of the depreciated original cost or the purchase price of the property.  </w:t>
      </w:r>
    </w:p>
    <w:p>
      <w:pPr>
        <w:pStyle w:val="Normal"/>
        <w:rPr/>
      </w:pPr>
      <w:r>
        <w:rPr/>
        <w:tab/>
      </w:r>
    </w:p>
    <w:p>
      <w:pPr>
        <w:pStyle w:val="Normal"/>
        <w:rPr/>
      </w:pPr>
      <w:r>
        <w:rPr/>
        <w:tab/>
        <w:t>Since the 1940s, the Federal Power Commission abandoned the fair value doctrine and favored the use of an historical cost methodology, to determine rates.</w:t>
      </w:r>
      <w:r>
        <w:rPr>
          <w:rStyle w:val="FootnoteReference"/>
          <w:vertAlign w:val="superscript"/>
        </w:rPr>
        <w:footnoteReference w:id="15"/>
      </w:r>
      <w:r>
        <w:rPr/>
        <w:t xml:space="preserve">   In rate-making proceedings, the Commission does not allow utilities or natural gas companies to include in their rate bases the amount in excess of the depreciated original cost, unless the applicant demonstrates that a measurable benefit to ratepayers exists.  </w:t>
      </w:r>
      <w:r>
        <w:rPr>
          <w:u w:val="single"/>
        </w:rPr>
        <w:t>See</w:t>
      </w:r>
      <w:r>
        <w:rPr/>
        <w:t xml:space="preserve"> </w:t>
      </w:r>
      <w:r>
        <w:rPr>
          <w:u w:val="single"/>
        </w:rPr>
        <w:t>Minnesota Power and Light Co.</w:t>
      </w:r>
      <w:r>
        <w:rPr/>
        <w:t xml:space="preserve">, 43 FERC ¶ 61,104 (1988); </w:t>
      </w:r>
      <w:r>
        <w:rPr>
          <w:u w:val="single"/>
        </w:rPr>
        <w:t>Longhorn Partners Pipeline</w:t>
      </w:r>
      <w:r>
        <w:rPr/>
        <w:t xml:space="preserve">, 73 FERC ¶ 61,355 (1995); </w:t>
      </w:r>
      <w:r>
        <w:rPr>
          <w:u w:val="single"/>
        </w:rPr>
        <w:t>Crossroads Pipeline Co.</w:t>
      </w:r>
      <w:r>
        <w:rPr/>
        <w:t xml:space="preserve">, 71 FERC ¶ 61,076, at 61,262 (1995); </w:t>
      </w:r>
      <w:r>
        <w:rPr>
          <w:u w:val="single"/>
        </w:rPr>
        <w:t>Natural Gas Pipeline Co. of America, et al.</w:t>
      </w:r>
      <w:r>
        <w:rPr/>
        <w:t xml:space="preserve">, 29 FERC ¶ 61,073, at 61,150 (1984); </w:t>
      </w:r>
      <w:r>
        <w:rPr>
          <w:u w:val="single"/>
        </w:rPr>
        <w:t>Cities Service Gas Co.</w:t>
      </w:r>
      <w:r>
        <w:rPr/>
        <w:t xml:space="preserve">, 4 FERC ¶ 61,268, at 61,596 (1978).  The Commission has applied the measurable benefits exception narrowly, and has decided only a few cases that have satisfied the exception.  </w:t>
      </w:r>
    </w:p>
    <w:p>
      <w:pPr>
        <w:pStyle w:val="Normal"/>
        <w:rPr/>
      </w:pPr>
      <w:r>
        <w:rPr/>
      </w:r>
    </w:p>
    <w:p>
      <w:pPr>
        <w:pStyle w:val="Normal"/>
        <w:rPr/>
      </w:pPr>
      <w:r>
        <w:rPr/>
        <w:tab/>
        <w:t>For example, in December 1995, the Commission laid out a two</w:t>
        <w:noBreakHyphen/>
        <w:t xml:space="preserve">pronged test that an acquiring company must satisfy to meet the measurable benefits exception, and concluded that Longhorn Partners Pipeline (“Longhorn”) satisfied both prongs.  </w:t>
      </w:r>
      <w:r>
        <w:rPr>
          <w:u w:val="single"/>
        </w:rPr>
        <w:t>Longhorn Partners Pipeline</w:t>
      </w:r>
      <w:r>
        <w:rPr/>
        <w:t>, 73 FERC ¶ 61,355 (1995).  The first prong required the acquiring company to show that it is either converting utility assets to a new public use, or placing utility assets in FERC</w:t>
        <w:noBreakHyphen/>
        <w:t>jurisdictional service for the first time.  To satisfy the second prong, the company must prove by clear and convincing evidence that the write</w:t>
        <w:noBreakHyphen/>
        <w:t xml:space="preserve">up will confer substantial benefits on ratepayers.  </w:t>
      </w:r>
      <w:r>
        <w:rPr>
          <w:u w:val="single"/>
        </w:rPr>
        <w:t>Id.</w:t>
      </w:r>
    </w:p>
    <w:p>
      <w:pPr>
        <w:pStyle w:val="Normal"/>
        <w:rPr/>
      </w:pPr>
      <w:r>
        <w:rPr/>
      </w:r>
    </w:p>
    <w:p>
      <w:pPr>
        <w:pStyle w:val="Normal"/>
        <w:rPr/>
      </w:pPr>
      <w:r>
        <w:rPr/>
        <w:t xml:space="preserve">    </w:t>
      </w:r>
      <w:r>
        <w:rPr/>
        <w:tab/>
        <w:t xml:space="preserve">Initially, the Commission found that Longhorn satisfied the first prong because it provided a service that would be substantially different from that previously provided, and it was considered a public use.  The pipeline would move refined products rather than crude oil, and the line itself was to be upgraded and reversed.  Therefore, Longhorn would serve a new market distinct from the market previously served by the seller.  </w:t>
      </w:r>
      <w:r>
        <w:rPr>
          <w:u w:val="single"/>
        </w:rPr>
        <w:t>Id.</w:t>
      </w:r>
      <w:r>
        <w:rPr/>
        <w:t xml:space="preserve">  Next, the Commission decided that the second prong was satisfied because the conversion would result in use of a currently</w:t>
        <w:noBreakHyphen/>
        <w:t xml:space="preserve">underutilized facility, which could not be replicated for the price which Longhorn was willing to pay.  In addition, the shippers charged for crude oil would not be the same shippers to be charged for refined products.  </w:t>
      </w:r>
    </w:p>
    <w:p>
      <w:pPr>
        <w:pStyle w:val="Normal"/>
        <w:rPr/>
      </w:pPr>
      <w:r>
        <w:rPr/>
      </w:r>
    </w:p>
    <w:p>
      <w:pPr>
        <w:pStyle w:val="Normal"/>
        <w:rPr/>
      </w:pPr>
      <w:r>
        <w:rPr/>
        <w:tab/>
        <w:t xml:space="preserve">On February 13, 1998, the Commission issued an order on further review, and concluded that Longhorn may not include the full purchase price in rate base because, subsequent to its 1995 order allowing inclusion of the full purchase price in rate base, the seller of the facility had become an equity owner in Longhorn.  </w:t>
      </w:r>
      <w:r>
        <w:rPr>
          <w:u w:val="single"/>
        </w:rPr>
        <w:t>Longhorn Partners Pipeline</w:t>
      </w:r>
      <w:r>
        <w:rPr/>
        <w:t xml:space="preserve">, 82 FERC ¶ 61,146 (1998).  The Commission stated that an exception applied only when a regulated company purchased an asset from another unaffiliated company, and not when the seller was also an interest owner in the purchasing entity, since the seller would, in effect, be receiving a write-up of an asset which it still owned.  </w:t>
      </w:r>
      <w:r>
        <w:rPr>
          <w:u w:val="single"/>
        </w:rPr>
        <w:t>Id.</w:t>
      </w:r>
      <w:r>
        <w:rPr/>
        <w:t xml:space="preserve">; </w:t>
      </w:r>
      <w:r>
        <w:rPr>
          <w:u w:val="single"/>
        </w:rPr>
        <w:t>Rio Grande Pipeline Co.</w:t>
      </w:r>
      <w:r>
        <w:rPr/>
        <w:t xml:space="preserve">, 82 FERC ¶ 61,147 (1998).  </w:t>
      </w:r>
    </w:p>
    <w:p>
      <w:pPr>
        <w:pStyle w:val="Normal"/>
        <w:rPr/>
      </w:pPr>
      <w:r>
        <w:rPr/>
      </w:r>
    </w:p>
    <w:p>
      <w:pPr>
        <w:pStyle w:val="Normal"/>
        <w:rPr/>
      </w:pPr>
      <w:r>
        <w:rPr/>
        <w:tab/>
        <w:t xml:space="preserve">In other cases, the Commission has allowed applicants to include in rate base the acquisition premiums in excess of net book value when the purchase would result in conversion of oil pipeline facilities to natural gas services.  </w:t>
      </w:r>
      <w:r>
        <w:rPr>
          <w:u w:val="single"/>
        </w:rPr>
        <w:t>See</w:t>
      </w:r>
      <w:r>
        <w:rPr/>
        <w:t xml:space="preserve"> </w:t>
      </w:r>
      <w:r>
        <w:rPr>
          <w:u w:val="single"/>
        </w:rPr>
        <w:t>Crossroads Pipeline Co.</w:t>
      </w:r>
      <w:r>
        <w:rPr/>
        <w:t xml:space="preserve">, 71 FERC ¶ 61,076, at 61,262 (1995); </w:t>
      </w:r>
      <w:r>
        <w:rPr>
          <w:u w:val="single"/>
        </w:rPr>
        <w:t>Natural Gas Pipeline Co. of America, et al.</w:t>
      </w:r>
      <w:r>
        <w:rPr/>
        <w:t xml:space="preserve">, 29 FERC ¶ 61,073, at 61,150 (1984); </w:t>
      </w:r>
      <w:r>
        <w:rPr>
          <w:u w:val="single"/>
        </w:rPr>
        <w:t>Cities Service Gas Co.</w:t>
      </w:r>
      <w:r>
        <w:rPr/>
        <w:t>, 4 FERC ¶ 61,268, at 61,596 (1978).  In these cases, the Commission concluded that the “specific dollar benefit” exception was met because the cost of constructing new facilities exceeded the cost of purchasing and converting the existing oil pipeline facilities to natural gas.  Further, the Commission allowed the acquiring companies to include in rate base the cost of conversion of the facilities.  71 FERC at 61,262; 29 FERC at 61,150.</w:t>
      </w:r>
    </w:p>
    <w:p>
      <w:pPr>
        <w:pStyle w:val="Normal"/>
        <w:rPr/>
      </w:pPr>
      <w:r>
        <w:rPr/>
      </w:r>
    </w:p>
    <w:p>
      <w:pPr>
        <w:pStyle w:val="Normal"/>
        <w:ind w:firstLine="720" w:end="0"/>
        <w:rPr/>
      </w:pPr>
      <w:r>
        <w:rPr/>
        <w:t>Thus, it appears that the Commission will apply a rebuttable presumption against permitting the inclusion of the premium over net original cost in rate base.  The only apparent way to overcome the presumption is to show a tangible, measurable and compensatory benefit to ratepayers.</w:t>
      </w:r>
    </w:p>
    <w:p>
      <w:pPr>
        <w:pStyle w:val="Normal"/>
        <w:ind w:firstLine="720" w:end="0"/>
        <w:rPr/>
      </w:pPr>
      <w:r>
        <w:rPr/>
        <w:t xml:space="preserve"> </w:t>
      </w:r>
    </w:p>
    <w:p>
      <w:pPr>
        <w:pStyle w:val="Heading1"/>
        <w:ind w:hanging="0" w:start="0"/>
        <w:rPr>
          <w:b/>
        </w:rPr>
      </w:pPr>
      <w:r>
        <w:rPr>
          <w:b/>
        </w:rPr>
        <w:t>SUGGESTED ENHANCEMENTS</w:t>
      </w:r>
    </w:p>
    <w:p>
      <w:pPr>
        <w:pStyle w:val="Normal"/>
        <w:rPr>
          <w:b/>
          <w:u w:val="single"/>
        </w:rPr>
      </w:pPr>
      <w:r>
        <w:rPr>
          <w:b/>
          <w:u w:val="single"/>
        </w:rPr>
      </w:r>
    </w:p>
    <w:p>
      <w:pPr>
        <w:pStyle w:val="Normal"/>
        <w:rPr/>
      </w:pPr>
      <w:r>
        <w:rPr/>
        <w:tab/>
        <w:t>Following are our recommendations to enhance the likelihood of success.</w:t>
      </w:r>
    </w:p>
    <w:p>
      <w:pPr>
        <w:pStyle w:val="Normal"/>
        <w:rPr/>
      </w:pPr>
      <w:r>
        <w:rPr/>
      </w:r>
    </w:p>
    <w:p>
      <w:pPr>
        <w:pStyle w:val="Normal"/>
        <w:ind w:firstLine="720" w:end="0"/>
        <w:rPr/>
      </w:pPr>
      <w:r>
        <w:rPr/>
        <w:t xml:space="preserve"> </w:t>
      </w:r>
      <w:r>
        <w:rPr/>
        <w:t xml:space="preserve">In light of the fact that the case law only generally favors but does not clearly support retention of gain on the sale of base gas in a vacuum (that is, without some public policy context), we note that the Commission will likely look more favorably on a pipeline’s retention of proceeds from the sales of base gas, if historically, the pipeline had not sought recovery of the cost of any replacement gas from its ratepayers.   A pipeline that had imposed the risk of loss of its capital on its ratepayers is in a weaker position to defend against </w:t>
      </w:r>
      <w:r>
        <w:rPr>
          <w:u w:val="single"/>
        </w:rPr>
        <w:t>Democratic Central Committee</w:t>
      </w:r>
      <w:r>
        <w:rPr/>
        <w:t xml:space="preserve"> standards.</w:t>
      </w:r>
    </w:p>
    <w:p>
      <w:pPr>
        <w:pStyle w:val="Normal"/>
        <w:ind w:firstLine="720" w:end="0"/>
        <w:rPr/>
      </w:pPr>
      <w:r>
        <w:rPr/>
      </w:r>
    </w:p>
    <w:p>
      <w:pPr>
        <w:pStyle w:val="Normal"/>
        <w:ind w:firstLine="720" w:end="0"/>
        <w:rPr/>
      </w:pPr>
      <w:r>
        <w:rPr/>
        <w:t xml:space="preserve">We also recommend that the sale of base gas be used as a means to accomplish another end, rather than being the end itself.  This is particularly important in connection with Model 4, in which ratepayers are to pay the cost of the reacquisition of base gas at then-prevailing market prices.  By way of illustration, we suggest an approach under which the pipeline would apply to the Commission for authority to construct and operate a facility for which there is a particular need.  In connection with that application, the pipeline should condition its willingness to construct, on Commission approval of financing the project using an approach consistent with Models 2, 3 or 4 to provide all or a portion of the proceeds.  We believe proceeding in this manner introduces a public policy reason—infrastructure investment—to permit retention of net proceeds and makes desirable construction the centerpiece of the application, with the financing vehicle a secondary consideration as the selected means of achieving the goal.   The construction or project benefits also can then be compared against a model of alternative future costs of reacquiring base gas at future market prices (or the costs of options to do so) to establish a showing of tangible and measurable customer benefits. </w:t>
      </w:r>
    </w:p>
    <w:p>
      <w:pPr>
        <w:pStyle w:val="Normal"/>
        <w:rPr/>
      </w:pPr>
      <w:r>
        <w:rPr/>
        <w:t xml:space="preserve">  </w:t>
      </w:r>
    </w:p>
    <w:p>
      <w:pPr>
        <w:pStyle w:val="Normal"/>
        <w:ind w:firstLine="720" w:end="0"/>
        <w:rPr/>
      </w:pPr>
      <w:r>
        <w:rPr/>
        <w:t>Issues respecting treatment of gain on sales of base gas, as well as concerns about whether a pre-arranged transaction would be consistent with the open access sales standards under section 284.284, are more likely to be avoided if the gas is sold to an affiliate at book value. This path creates the risk that the Commission will look through an affiliate transaction under which the pipeline receives less than market value for the sale of an asset.  However, on balance, more problems are avoided by this approach than encountered.</w:t>
      </w:r>
    </w:p>
    <w:p>
      <w:pPr>
        <w:pStyle w:val="Normal"/>
        <w:rPr/>
      </w:pPr>
      <w:r>
        <w:rPr/>
      </w:r>
    </w:p>
    <w:p>
      <w:pPr>
        <w:pStyle w:val="Normal"/>
        <w:rPr/>
      </w:pPr>
      <w:r>
        <w:rPr/>
        <w:tab/>
      </w:r>
    </w:p>
    <w:p>
      <w:pPr>
        <w:pStyle w:val="Normal"/>
        <w:rPr/>
      </w:pPr>
      <w:r>
        <w:rPr/>
        <w:tab/>
      </w:r>
    </w:p>
    <w:p>
      <w:pPr>
        <w:pStyle w:val="Normal"/>
        <w:ind w:firstLine="720" w:end="0"/>
        <w:rPr>
          <w:rFonts w:ascii="Courier" w:hAnsi="Courier" w:cs="Courier"/>
        </w:rPr>
      </w:pPr>
      <w:r>
        <w:rPr>
          <w:rFonts w:cs="Courier" w:ascii="Courier" w:hAnsi="Courier"/>
        </w:rPr>
      </w:r>
    </w:p>
    <w:p>
      <w:pPr>
        <w:pStyle w:val="Normal"/>
        <w:ind w:firstLine="720" w:end="0"/>
        <w:rPr>
          <w:rFonts w:ascii="Courier" w:hAnsi="Courier" w:cs="Courier"/>
        </w:rPr>
      </w:pPr>
      <w:r>
        <w:rPr>
          <w:rFonts w:cs="Courier" w:ascii="Courier" w:hAnsi="Courier"/>
        </w:rPr>
      </w:r>
    </w:p>
    <w:sectPr>
      <w:headerReference w:type="default" r:id="rId6"/>
      <w:headerReference w:type="first" r:id="rId7"/>
      <w:footerReference w:type="default" r:id="rId8"/>
      <w:footerReference w:type="first" r:id="rId9"/>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MathB">
    <w:charset w:val="02"/>
    <w:family w:val="auto"/>
    <w:pitch w:val="variable"/>
  </w:font>
  <w:font w:name="Univers">
    <w:charset w:val="00" w:characterSet="windows-1252"/>
    <w:family w:val="swiss"/>
    <w:pitch w:val="variable"/>
  </w:font>
  <w:font w:name="Tahoma">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24"/>
        </w:rPr>
        <w:t xml:space="preserve"> </w:t>
      </w:r>
      <w:r>
        <w:rPr>
          <w:sz w:val="24"/>
        </w:rPr>
        <w:tab/>
        <w:t>Section 2.55 provides that certain activities are excluded from the definition of “facilities” under Section 7 of the NGA, 18C.F.R. § 2.55 (2000).</w:t>
      </w:r>
    </w:p>
  </w:footnote>
  <w:footnote w:id="3">
    <w:p>
      <w:pPr>
        <w:pStyle w:val="Normal"/>
        <w:spacing w:before="0" w:after="240"/>
        <w:rPr/>
      </w:pPr>
      <w:r>
        <w:rPr>
          <w:rStyle w:val="FootnoteCharacters"/>
        </w:rPr>
        <w:footnoteRef/>
      </w:r>
      <w:r>
        <w:rPr/>
        <w:tab/>
        <w:t>Applications for abandonment are filed pursuant to Part 157 of the Commission's regulations.  18 C.F.R. Part 157 (1994).</w:t>
      </w:r>
    </w:p>
  </w:footnote>
  <w:footnote w:id="4">
    <w:p>
      <w:pPr>
        <w:pStyle w:val="Normal"/>
        <w:spacing w:before="0" w:after="240"/>
        <w:rPr/>
      </w:pPr>
      <w:r>
        <w:rPr>
          <w:rStyle w:val="FootnoteCharacters"/>
        </w:rPr>
        <w:footnoteRef/>
      </w:r>
      <w:r>
        <w:rPr/>
        <w:tab/>
        <w:t xml:space="preserve">The Supreme Court has held that "the physical alteration of facilities is not the sine qua non restricting the Commission's jurisdiction under § 7(b)," and that the cessation of a "service" is sufficient to trigger the requirement of section 7(b).  </w:t>
      </w:r>
      <w:r>
        <w:rPr>
          <w:u w:val="single"/>
        </w:rPr>
        <w:t>United Gas Pipe Line Co. v. FPC</w:t>
      </w:r>
      <w:r>
        <w:rPr/>
        <w:t>, 385 U.S. 83, 88 (1966).</w:t>
      </w:r>
    </w:p>
  </w:footnote>
  <w:footnote w:id="5">
    <w:p>
      <w:pPr>
        <w:pStyle w:val="Normal"/>
        <w:rPr/>
      </w:pPr>
      <w:r>
        <w:rPr>
          <w:rStyle w:val="FootnoteCharacters"/>
        </w:rPr>
        <w:footnoteRef/>
      </w:r>
      <w:r>
        <w:rPr/>
        <w:t xml:space="preserve"> </w:t>
      </w:r>
      <w:r>
        <w:rPr/>
        <w:tab/>
        <w:t xml:space="preserve">Even after </w:t>
      </w:r>
      <w:r>
        <w:rPr>
          <w:u w:val="single"/>
        </w:rPr>
        <w:t>Democratic Central Committee</w:t>
      </w:r>
      <w:r>
        <w:rPr/>
        <w:t xml:space="preserve">, the Commission occasionally employed the historical formulation: “A customer pays only for service.  “[C]ustomers     . . . do not obtain, by their payments, an entitlement in a utility’s assets.”  </w:t>
      </w:r>
      <w:r>
        <w:rPr>
          <w:u w:val="single"/>
        </w:rPr>
        <w:t>Southern Co. Servs., Inc. et al</w:t>
      </w:r>
      <w:r>
        <w:rPr/>
        <w:t xml:space="preserve">., 69 FERC at 62,560.  </w:t>
      </w:r>
    </w:p>
    <w:p>
      <w:pPr>
        <w:pStyle w:val="FootnoteText"/>
        <w:rPr/>
      </w:pPr>
      <w:r>
        <w:rPr/>
      </w:r>
    </w:p>
  </w:footnote>
  <w:footnote w:id="6">
    <w:p>
      <w:pPr>
        <w:pStyle w:val="Normal"/>
        <w:rPr/>
      </w:pPr>
      <w:r>
        <w:rPr>
          <w:rStyle w:val="FootnoteCharacters"/>
        </w:rPr>
        <w:footnoteRef/>
      </w:r>
      <w:r>
        <w:rPr/>
        <w:t xml:space="preserve"> </w:t>
      </w:r>
      <w:r>
        <w:rPr/>
        <w:tab/>
        <w:t>In Order No. 473, the Commission considered whether to amend the treatment of recording gains and losses on the disposition of utility assets:</w:t>
      </w:r>
    </w:p>
    <w:p>
      <w:pPr>
        <w:pStyle w:val="Normal"/>
        <w:ind w:start="1440" w:end="1440"/>
        <w:rPr/>
      </w:pPr>
      <w:r>
        <w:rPr/>
        <w:t>[N]o change should be made in the accounting treatment of the gains and losses on the sale or other disposition of utility property.  We shall therefore continue the current procedure of recording them as nonutility operating income and deductions or, in other words, “below the line.”</w:t>
      </w:r>
    </w:p>
    <w:p>
      <w:pPr>
        <w:pStyle w:val="FootnoteText"/>
        <w:rPr>
          <w:sz w:val="24"/>
        </w:rPr>
      </w:pPr>
      <w:r>
        <w:rPr>
          <w:sz w:val="24"/>
        </w:rPr>
        <w:t>49 FPC at 391.</w:t>
      </w:r>
    </w:p>
    <w:p>
      <w:pPr>
        <w:pStyle w:val="FootnoteText"/>
        <w:rPr>
          <w:sz w:val="24"/>
        </w:rPr>
      </w:pPr>
      <w:r>
        <w:rPr>
          <w:sz w:val="24"/>
        </w:rPr>
      </w:r>
    </w:p>
  </w:footnote>
  <w:footnote w:id="7">
    <w:p>
      <w:pPr>
        <w:pStyle w:val="Normal"/>
        <w:spacing w:before="120" w:after="0"/>
        <w:rPr/>
      </w:pPr>
      <w:r>
        <w:rPr>
          <w:rStyle w:val="FootnoteCharacters"/>
        </w:rPr>
        <w:footnoteRef/>
      </w:r>
      <w:r>
        <w:rPr/>
        <w:t xml:space="preserve"> </w:t>
      </w:r>
      <w:r>
        <w:rPr/>
        <w:tab/>
        <w:t xml:space="preserve">Equitrans also stated that the nitrogen would be depreciated in accordance with Commission regulations.   The Commission concluded that the nitrogen investment is subject to depreciation since the nitrogen is economically unrecoverable. </w:t>
      </w:r>
    </w:p>
    <w:p>
      <w:pPr>
        <w:pStyle w:val="Normal"/>
        <w:spacing w:before="120" w:after="0"/>
        <w:rPr/>
      </w:pPr>
      <w:r>
        <w:rPr/>
      </w:r>
    </w:p>
    <w:p>
      <w:pPr>
        <w:pStyle w:val="FootnoteText"/>
        <w:rPr/>
      </w:pPr>
      <w:r>
        <w:rPr/>
      </w:r>
    </w:p>
  </w:footnote>
  <w:footnote w:id="8">
    <w:p>
      <w:pPr>
        <w:pStyle w:val="Normal"/>
        <w:rPr/>
      </w:pPr>
      <w:r>
        <w:rPr>
          <w:rStyle w:val="FootnoteCharacters"/>
        </w:rPr>
        <w:footnoteRef/>
      </w:r>
      <w:r>
        <w:rPr/>
        <w:t xml:space="preserve"> </w:t>
      </w:r>
      <w:r>
        <w:rPr/>
        <w:tab/>
        <w:t>The Commission required Equitrans to reduce the balance in Account 117.1 for the historical cost of the cushion gas removed and directed Equitrans to record its investment in the nitrogen in a separate subaccount of the account that would be used to record an investment in cushion natural gas (nonrecoverable cushion gas be recorded in Account 352.3, Nonrecoverable Natural Gas, and recoverable cushion gas in Account 117.1).  The Commission also required Equitrans to account for the sale of the removed cushion gas as the sale of an asset not ordinarily purchased and held for resale. The net gain on the sale (sales proceeds less the cost of the gas sold less any removal and injection costs) was required to be recorded in Account 421, Miscellaneous Nonoperating Revenues.</w:t>
      </w:r>
    </w:p>
    <w:p>
      <w:pPr>
        <w:pStyle w:val="FootnoteText"/>
        <w:rPr/>
      </w:pPr>
      <w:r>
        <w:rPr/>
      </w:r>
    </w:p>
  </w:footnote>
  <w:footnote w:id="9">
    <w:p>
      <w:pPr>
        <w:pStyle w:val="FootnoteText"/>
        <w:rPr/>
      </w:pPr>
      <w:r>
        <w:rPr>
          <w:rStyle w:val="FootnoteCharacters"/>
        </w:rPr>
        <w:footnoteRef/>
      </w:r>
      <w:r>
        <w:rPr>
          <w:sz w:val="24"/>
        </w:rPr>
        <w:t xml:space="preserve"> </w:t>
      </w:r>
      <w:r>
        <w:rPr>
          <w:sz w:val="24"/>
        </w:rPr>
        <w:tab/>
        <w:t>Retained profits were to be recorded in Account 421.1, Gain on Disposition of Property, and profits to be flowed back to customers were to be recorded in Account 254, Other Regulatory Liabilities.</w:t>
      </w:r>
    </w:p>
    <w:p>
      <w:pPr>
        <w:pStyle w:val="FootnoteText"/>
        <w:rPr>
          <w:sz w:val="24"/>
        </w:rPr>
      </w:pPr>
      <w:r>
        <w:rPr>
          <w:sz w:val="24"/>
        </w:rPr>
      </w:r>
    </w:p>
  </w:footnote>
  <w:footnote w:id="10">
    <w:p>
      <w:pPr>
        <w:pStyle w:val="FootnoteText"/>
        <w:rPr/>
      </w:pPr>
      <w:r>
        <w:rPr>
          <w:rStyle w:val="FootnoteCharacters"/>
        </w:rPr>
        <w:footnoteRef/>
      </w:r>
      <w:r>
        <w:rPr>
          <w:sz w:val="24"/>
        </w:rPr>
        <w:t xml:space="preserve"> </w:t>
      </w:r>
      <w:r>
        <w:rPr>
          <w:sz w:val="24"/>
        </w:rPr>
        <w:tab/>
        <w:t>Retained profits were to be recorded in Account 421.1, Gain on Disposition of Property, and profits to be flowed back to customers were to be recorded in Account 254, Other Regulatory Liabilities.</w:t>
      </w:r>
    </w:p>
  </w:footnote>
  <w:footnote w:id="11">
    <w:p>
      <w:pPr>
        <w:pStyle w:val="Normal"/>
        <w:rPr/>
      </w:pPr>
      <w:r>
        <w:rPr>
          <w:rStyle w:val="FootnoteCharacters"/>
        </w:rPr>
        <w:footnoteRef/>
      </w:r>
      <w:r>
        <w:rPr/>
      </w:r>
    </w:p>
    <w:p>
      <w:pPr>
        <w:pStyle w:val="FootnoteText"/>
        <w:rPr/>
      </w:pPr>
      <w:r>
        <w:rPr>
          <w:rStyle w:val="FootnoteCharacters"/>
        </w:rPr>
        <w:t>?</w:t>
      </w:r>
      <w:r>
        <w:rPr/>
        <w:t xml:space="preserve"> </w:t>
        <w:tab/>
      </w:r>
      <w:r>
        <w:rPr>
          <w:sz w:val="24"/>
        </w:rPr>
        <w:t xml:space="preserve">In the latter order, the Commission declined to require any immediate relief to customers, in part because of the </w:t>
      </w:r>
      <w:r>
        <w:rPr>
          <w:sz w:val="24"/>
          <w:u w:val="single"/>
        </w:rPr>
        <w:t>Columbia</w:t>
      </w:r>
      <w:r>
        <w:rPr>
          <w:sz w:val="24"/>
        </w:rPr>
        <w:t xml:space="preserve"> settlement, but also because it noted that “Pipelines are customarily authorized to abandon facilities between rate cases without having to re-justify or re-state their base rates to reflect removal of the costs associated with the abandoned facilities. This is especially true when the impact on costs is likely to be minimal.” 96 FERC ¶ 61,082 at 8 (mimeo)</w:t>
      </w:r>
      <w:r>
        <w:rPr>
          <w:b/>
          <w:sz w:val="24"/>
        </w:rPr>
        <w:t xml:space="preserve">.   </w:t>
      </w:r>
      <w:r>
        <w:rPr>
          <w:sz w:val="24"/>
        </w:rPr>
        <w:t xml:space="preserve">The Commission also rejected a customer’s request that Columbia be directed to identify the annual depreciation expense return and income taxes associated with the abandoned facilities and credit that amount in its annual Account 858 tracker filings until the next general Section 4(e) rate case as a misuse of a transportation cost tracker for storage related costs, stating that “The appropriate forum for resolution of any rate concerns related to the abandonment is a section 4 rate proceeding.” </w:t>
        <w:br/>
      </w:r>
    </w:p>
  </w:footnote>
  <w:footnote w:id="12">
    <w:p>
      <w:pPr>
        <w:pStyle w:val="FootnoteText"/>
        <w:rPr/>
      </w:pPr>
      <w:r>
        <w:rPr>
          <w:rStyle w:val="FootnoteCharacters"/>
        </w:rPr>
        <w:footnoteRef/>
      </w:r>
      <w:r>
        <w:rPr/>
        <w:t xml:space="preserve"> </w:t>
      </w:r>
      <w:r>
        <w:rPr/>
        <w:tab/>
      </w:r>
      <w:r>
        <w:rPr>
          <w:sz w:val="24"/>
        </w:rPr>
        <w:t xml:space="preserve">The court concluded that , “In situations where consumers have shouldered these burdens on an asset which produces a gain, the equities clearly preponderate in their favor.”  </w:t>
      </w:r>
      <w:r>
        <w:rPr>
          <w:sz w:val="24"/>
          <w:u w:val="single"/>
        </w:rPr>
        <w:t>Supra</w:t>
      </w:r>
      <w:r>
        <w:rPr>
          <w:sz w:val="24"/>
        </w:rPr>
        <w:t xml:space="preserve"> at 811.</w:t>
      </w:r>
    </w:p>
    <w:p>
      <w:pPr>
        <w:pStyle w:val="FootnoteText"/>
        <w:rPr/>
      </w:pPr>
      <w:r>
        <w:rPr/>
      </w:r>
    </w:p>
  </w:footnote>
  <w:footnote w:id="13">
    <w:p>
      <w:pPr>
        <w:pStyle w:val="FootnoteText"/>
        <w:rPr/>
      </w:pPr>
      <w:r>
        <w:rPr>
          <w:rStyle w:val="FootnoteCharacters"/>
        </w:rPr>
        <w:footnoteRef/>
      </w:r>
      <w:r>
        <w:rPr>
          <w:sz w:val="24"/>
        </w:rPr>
        <w:t xml:space="preserve"> </w:t>
      </w:r>
      <w:r>
        <w:rPr>
          <w:sz w:val="24"/>
        </w:rPr>
        <w:tab/>
        <w:t xml:space="preserve">It bears noting that the </w:t>
      </w:r>
      <w:r>
        <w:rPr>
          <w:sz w:val="24"/>
          <w:u w:val="single"/>
        </w:rPr>
        <w:t>Democratic Central Committee</w:t>
      </w:r>
      <w:r>
        <w:rPr>
          <w:sz w:val="24"/>
        </w:rPr>
        <w:t xml:space="preserve"> court was unpersuaded by the distinction between depreciable and non-depreciable assets for purposes of allocating gain and in </w:t>
      </w:r>
      <w:r>
        <w:rPr>
          <w:sz w:val="24"/>
          <w:u w:val="single"/>
        </w:rPr>
        <w:t>Trunkline</w:t>
      </w:r>
      <w:r>
        <w:rPr>
          <w:sz w:val="24"/>
        </w:rPr>
        <w:t>, the Commission also found the distinction to be without significance. Just as Commission-mandated restructuring was the factual predicate for proscribing pipelines from having (no less retaining) a gain on the sale of storage gas, the current circumstances of pipelines also offer a factual predicate that bears consideration.   Basing ratepayers’ claim on net proceeds from utility asset sales on their historical contributions to depreciation or amortization reserves is less appealing in an environment in which the customer base is not stable.  Customer churn and capacity release severely undercuts the basis of this claim.</w:t>
      </w:r>
    </w:p>
  </w:footnote>
  <w:footnote w:id="14">
    <w:p>
      <w:pPr>
        <w:pStyle w:val="Normal"/>
        <w:rPr/>
      </w:pPr>
      <w:r>
        <w:rPr>
          <w:rStyle w:val="FootnoteCharacters"/>
        </w:rPr>
        <w:footnoteRef/>
      </w:r>
      <w:r>
        <w:rPr/>
        <w:t xml:space="preserve"> </w:t>
      </w:r>
      <w:r>
        <w:rPr/>
        <w:tab/>
        <w:t xml:space="preserve">The FERC’s accounting regulations require a gas company to record the acquisition adjustment, or the difference between the total actual cost of the acquired electric property and the original cost.  18 CFR Part 201, Account 114. </w:t>
      </w:r>
    </w:p>
    <w:p>
      <w:pPr>
        <w:pStyle w:val="Normal"/>
        <w:rPr/>
      </w:pPr>
      <w:r>
        <w:rPr/>
      </w:r>
    </w:p>
    <w:p>
      <w:pPr>
        <w:pStyle w:val="FootnoteText"/>
        <w:rPr/>
      </w:pPr>
      <w:r>
        <w:rPr/>
      </w:r>
    </w:p>
  </w:footnote>
  <w:footnote w:id="15">
    <w:p>
      <w:pPr>
        <w:pStyle w:val="Normal"/>
        <w:spacing w:before="0" w:after="240"/>
        <w:rPr/>
      </w:pPr>
      <w:r>
        <w:rPr>
          <w:rStyle w:val="FootnoteCharacters"/>
        </w:rPr>
        <w:footnoteRef/>
      </w:r>
      <w:r>
        <w:rPr/>
        <w:tab/>
      </w:r>
      <w:r>
        <w:rPr>
          <w:u w:val="single"/>
        </w:rPr>
        <w:t>Federal Power Cmm’n v. Hope Natural Gas Co.</w:t>
      </w:r>
      <w:r>
        <w:rPr/>
        <w:t xml:space="preserve">, 320 U.S. 591 (1944), </w:t>
      </w:r>
      <w:r>
        <w:rPr>
          <w:u w:val="single"/>
        </w:rPr>
        <w:t>aff’d</w:t>
      </w:r>
      <w:r>
        <w:rPr/>
        <w:t xml:space="preserve"> </w:t>
      </w:r>
      <w:r>
        <w:rPr>
          <w:u w:val="single"/>
        </w:rPr>
        <w:t>Duquesne Light Co. v. Barasch</w:t>
      </w:r>
      <w:r>
        <w:rPr/>
        <w:t xml:space="preserve">, 488 U.S. 299.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2160" w:start="2160" w:end="0"/>
      <w:rPr>
        <w:u w:val="none"/>
      </w:rPr>
    </w:pPr>
    <w:r>
      <w:rPr>
        <w:u w:val="none"/>
      </w:rPr>
      <w:t xml:space="preserve">Privileged and Confidential Memorandum </w:t>
    </w:r>
  </w:p>
  <w:p>
    <w:pPr>
      <w:pStyle w:val="Normal"/>
      <w:rPr/>
    </w:pPr>
    <w:r>
      <w:rPr/>
      <w:t>To:</w:t>
      <w:tab/>
      <w:t xml:space="preserve">Ms. Fulton, Ms. Novosel, Ms. Rainer, </w:t>
    </w:r>
  </w:p>
  <w:p>
    <w:pPr>
      <w:pStyle w:val="Normal"/>
      <w:ind w:firstLine="720" w:end="0"/>
      <w:rPr/>
    </w:pPr>
    <w:r>
      <w:rPr/>
      <w:t>Mr. Bienawski, Mr. Neustaedter, Mr. Vasquez</w:t>
    </w:r>
  </w:p>
  <w:p>
    <w:pPr>
      <w:pStyle w:val="Normal"/>
      <w:rPr/>
    </w:pPr>
    <w:r>
      <w:rPr/>
      <w:t>July 27, 2001</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2160" w:start="2160" w:end="0"/>
      <w:rPr>
        <w:u w:val="none"/>
      </w:rPr>
    </w:pPr>
    <w:r>
      <w:rPr>
        <w:u w:val="none"/>
      </w:rPr>
      <w:t xml:space="preserve">Privileged and Confidential Memorandum </w:t>
    </w:r>
  </w:p>
  <w:p>
    <w:pPr>
      <w:pStyle w:val="Normal"/>
      <w:rPr/>
    </w:pPr>
    <w:r>
      <w:rPr/>
      <w:t>To:</w:t>
      <w:tab/>
      <w:t xml:space="preserve">Ms. Fulton, Ms. Novosel, Ms. Rainer, </w:t>
    </w:r>
  </w:p>
  <w:p>
    <w:pPr>
      <w:pStyle w:val="Normal"/>
      <w:ind w:firstLine="720" w:end="0"/>
      <w:rPr/>
    </w:pPr>
    <w:r>
      <w:rPr/>
      <w:t>Mr. Bienawski, Mr. Neustaedter, Mr. Vasquez</w:t>
    </w:r>
  </w:p>
  <w:p>
    <w:pPr>
      <w:pStyle w:val="Normal"/>
      <w:rPr/>
    </w:pPr>
    <w:r>
      <w:rPr/>
      <w:t>July 27, 2001</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ind w:firstLine="720" w:start="0" w:end="0"/>
      <w:outlineLvl w:val="1"/>
    </w:pPr>
    <w:rPr>
      <w:u w:val="single"/>
    </w:rPr>
  </w:style>
  <w:style w:type="paragraph" w:styleId="Heading3">
    <w:name w:val="heading 3"/>
    <w:basedOn w:val="Normal"/>
    <w:next w:val="Normal"/>
    <w:qFormat/>
    <w:pPr>
      <w:keepNext w:val="true"/>
      <w:numPr>
        <w:ilvl w:val="2"/>
        <w:numId w:val="1"/>
      </w:numPr>
      <w:ind w:firstLine="720" w:start="720" w:end="0"/>
      <w:outlineLvl w:val="2"/>
    </w:pPr>
    <w:rPr>
      <w:u w:val="single"/>
    </w:rPr>
  </w:style>
  <w:style w:type="paragraph" w:styleId="Heading4">
    <w:name w:val="heading 4"/>
    <w:basedOn w:val="Normal"/>
    <w:next w:val="Normal"/>
    <w:qFormat/>
    <w:pPr>
      <w:keepNext w:val="true"/>
      <w:numPr>
        <w:ilvl w:val="3"/>
        <w:numId w:val="1"/>
      </w:numPr>
      <w:ind w:hanging="0" w:start="720" w:end="0"/>
      <w:outlineLvl w:val="3"/>
    </w:pPr>
    <w:rPr>
      <w:u w:val="single"/>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ind w:firstLine="720" w:start="0" w:end="0"/>
      <w:outlineLvl w:val="5"/>
    </w:pPr>
    <w:rPr>
      <w:b/>
    </w:rPr>
  </w:style>
  <w:style w:type="paragraph" w:styleId="Heading7">
    <w:name w:val="heading 7"/>
    <w:basedOn w:val="Normal"/>
    <w:next w:val="Normal"/>
    <w:qFormat/>
    <w:pPr>
      <w:keepNext w:val="true"/>
      <w:numPr>
        <w:ilvl w:val="6"/>
        <w:numId w:val="1"/>
      </w:numPr>
      <w:ind w:hanging="0" w:start="720" w:end="0"/>
      <w:outlineLvl w:val="6"/>
    </w:pPr>
    <w:rPr>
      <w:b/>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Strong">
    <w:name w:val="Strong"/>
    <w:basedOn w:val="DefaultParagraphFont"/>
    <w:qFormat/>
    <w:rPr>
      <w:b/>
    </w:rPr>
  </w:style>
  <w:style w:type="character" w:styleId="Emphasis">
    <w:name w:val="Emphasis"/>
    <w:basedOn w:val="DefaultParagraphFont"/>
    <w:qFormat/>
    <w:rPr>
      <w:i/>
    </w:rPr>
  </w:style>
  <w:style w:type="character" w:styleId="PageNumber">
    <w:name w:val="page number"/>
    <w:basedOn w:val="DefaultParagraphFont"/>
    <w:rPr/>
  </w:style>
  <w:style w:type="character" w:styleId="univers11">
    <w:name w:val="univers11"/>
    <w:qFormat/>
    <w:rPr>
      <w:rFonts w:ascii="WP MathB" w:hAnsi="WP MathB" w:cs="WP MathB"/>
      <w:sz w:val="22"/>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Univers" w:hAnsi="Univers" w:cs="Univers"/>
      <w:smallCaps/>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z w:val="20"/>
    </w:rPr>
  </w:style>
  <w:style w:type="paragraph" w:styleId="BlockText">
    <w:name w:val="Block Text"/>
    <w:basedOn w:val="Normal"/>
    <w:qFormat/>
    <w:pPr>
      <w:ind w:hanging="0" w:start="1440" w:end="1440"/>
    </w:pPr>
    <w:rPr/>
  </w:style>
  <w:style w:type="paragraph" w:styleId="BodyTextIndent">
    <w:name w:val="Body Text Indent"/>
    <w:basedOn w:val="Normal"/>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2001-09-19T13:41:00Z</dcterms:created>
  <dc:creator>Lawrence Acker</dc:creator>
  <dc:description/>
  <dc:language>en-CA</dc:language>
  <cp:lastModifiedBy>dfulton8</cp:lastModifiedBy>
  <cp:lastPrinted>2001-07-26T18:12:00Z</cp:lastPrinted>
  <dcterms:modified xsi:type="dcterms:W3CDTF">2001-09-19T13:41:00Z</dcterms:modified>
  <cp:revision>2</cp:revision>
  <dc:subject/>
  <dc:title>Introduction</dc:title>
</cp:coreProperties>
</file>