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3" w:color="000000"/>
          <w:bottom w:val="single" w:sz="4" w:space="1" w:color="000000"/>
        </w:pBdr>
        <w:jc w:val="center"/>
        <w:rPr>
          <w:b/>
          <w:sz w:val="24"/>
        </w:rPr>
      </w:pPr>
      <w:r>
        <w:rPr>
          <w:b/>
          <w:sz w:val="24"/>
        </w:rPr>
        <w:t>Enron Corporate Administrative Services (ECAS)</w:t>
      </w:r>
    </w:p>
    <w:p>
      <w:pPr>
        <w:pStyle w:val="Normal"/>
        <w:jc w:val="center"/>
        <w:rPr>
          <w:b/>
          <w:sz w:val="24"/>
        </w:rPr>
      </w:pPr>
      <w:r>
        <w:rPr>
          <w:b/>
          <w:sz w:val="24"/>
        </w:rPr>
      </w:r>
    </w:p>
    <w:p>
      <w:pPr>
        <w:pStyle w:val="Heading1"/>
        <w:ind w:hanging="0" w:start="0"/>
        <w:rPr>
          <w:sz w:val="32"/>
        </w:rPr>
      </w:pPr>
      <w:r>
        <w:rPr>
          <w:sz w:val="32"/>
        </w:rPr>
        <w:t>Year End 2000 Accomplishments</w:t>
      </w:r>
    </w:p>
    <w:p>
      <w:pPr>
        <w:pStyle w:val="Heading2"/>
        <w:ind w:hanging="0" w:start="0"/>
        <w:jc w:val="both"/>
        <w:rPr/>
      </w:pPr>
      <w:r>
        <w:rPr/>
        <w:t>Summary</w:t>
      </w:r>
      <w:r>
        <w:rPr>
          <w:sz w:val="22"/>
        </w:rPr>
        <w:t xml:space="preserve">: </w:t>
      </w:r>
    </w:p>
    <w:p>
      <w:pPr>
        <w:pStyle w:val="Normal"/>
        <w:rPr>
          <w:b/>
          <w:sz w:val="22"/>
        </w:rPr>
      </w:pPr>
      <w:r>
        <w:rPr>
          <w:b/>
          <w:sz w:val="22"/>
        </w:rPr>
      </w:r>
    </w:p>
    <w:p>
      <w:pPr>
        <w:pStyle w:val="Heading6"/>
        <w:ind w:hanging="0" w:start="0"/>
        <w:rPr>
          <w:sz w:val="26"/>
          <w:u w:val="single"/>
        </w:rPr>
      </w:pPr>
      <w:r>
        <w:rPr>
          <w:sz w:val="26"/>
          <w:u w:val="single"/>
        </w:rPr>
        <w:t>Maintained Solid Operational Control and Cost efficiencies in Core Business</w:t>
      </w:r>
    </w:p>
    <w:p>
      <w:pPr>
        <w:pStyle w:val="Normal"/>
        <w:numPr>
          <w:ilvl w:val="0"/>
          <w:numId w:val="6"/>
        </w:numPr>
        <w:jc w:val="both"/>
        <w:rPr>
          <w:sz w:val="22"/>
        </w:rPr>
      </w:pPr>
      <w:r>
        <w:rPr>
          <w:b/>
          <w:sz w:val="22"/>
        </w:rPr>
        <w:t>Managed annual budgets totaling $120 million</w:t>
      </w:r>
    </w:p>
    <w:p>
      <w:pPr>
        <w:pStyle w:val="Normal"/>
        <w:numPr>
          <w:ilvl w:val="0"/>
          <w:numId w:val="6"/>
        </w:numPr>
        <w:jc w:val="both"/>
        <w:rPr>
          <w:sz w:val="22"/>
        </w:rPr>
      </w:pPr>
      <w:r>
        <w:rPr>
          <w:b/>
          <w:sz w:val="22"/>
        </w:rPr>
        <w:t>Operated Enron’s best, most comprehensive, and transparent ”direct charge” internal cost accountability system (400K annual transactions to 360 cost centers, promoting Business Unit accountability and eliminating corporate “background noise” from unspecified charges)</w:t>
      </w:r>
    </w:p>
    <w:p>
      <w:pPr>
        <w:pStyle w:val="Normal"/>
        <w:jc w:val="both"/>
        <w:rPr>
          <w:b/>
          <w:sz w:val="22"/>
        </w:rPr>
      </w:pPr>
      <w:r>
        <w:rPr>
          <w:b/>
          <w:sz w:val="22"/>
        </w:rPr>
      </w:r>
    </w:p>
    <w:p>
      <w:pPr>
        <w:pStyle w:val="Heading6"/>
        <w:ind w:hanging="0" w:start="0"/>
        <w:rPr>
          <w:sz w:val="26"/>
          <w:u w:val="single"/>
        </w:rPr>
      </w:pPr>
      <w:r>
        <w:rPr>
          <w:sz w:val="26"/>
          <w:u w:val="single"/>
        </w:rPr>
        <w:t>Demonstrated Leadership in Productivity and Professional Expertise</w:t>
      </w:r>
    </w:p>
    <w:p>
      <w:pPr>
        <w:pStyle w:val="Normal"/>
        <w:numPr>
          <w:ilvl w:val="0"/>
          <w:numId w:val="5"/>
        </w:numPr>
        <w:jc w:val="both"/>
        <w:rPr>
          <w:sz w:val="22"/>
        </w:rPr>
      </w:pPr>
      <w:r>
        <w:rPr>
          <w:b/>
          <w:sz w:val="22"/>
        </w:rPr>
        <w:t>Innovation and strong work ethic was again evidenced in our abilities to resolve complex and diverse challenges and successfully service record levels of demand</w:t>
      </w:r>
    </w:p>
    <w:p>
      <w:pPr>
        <w:pStyle w:val="Normal"/>
        <w:numPr>
          <w:ilvl w:val="0"/>
          <w:numId w:val="5"/>
        </w:numPr>
        <w:jc w:val="both"/>
        <w:rPr>
          <w:sz w:val="22"/>
        </w:rPr>
      </w:pPr>
      <w:r>
        <w:rPr>
          <w:b/>
          <w:sz w:val="22"/>
        </w:rPr>
        <w:t>Project work load and services volumes today are far and away at record levels - yet we operate within a “corporate expense” cost structure 16% ($1.1 million) below ’99 funding and headcount authorizations</w:t>
      </w:r>
    </w:p>
    <w:p>
      <w:pPr>
        <w:pStyle w:val="Normal"/>
        <w:numPr>
          <w:ilvl w:val="0"/>
          <w:numId w:val="5"/>
        </w:numPr>
        <w:jc w:val="both"/>
        <w:rPr>
          <w:sz w:val="22"/>
        </w:rPr>
      </w:pPr>
      <w:r>
        <w:rPr>
          <w:b/>
          <w:sz w:val="22"/>
        </w:rPr>
        <w:t>Continued to be recognized as experts in our profession, enjoying strong credibility in our core skill sets as well as a source of unique abilities to originate and implement fresh, innovative solutions at multiple levels across Enron</w:t>
      </w:r>
    </w:p>
    <w:p>
      <w:pPr>
        <w:pStyle w:val="Normal"/>
        <w:jc w:val="both"/>
        <w:rPr>
          <w:b/>
          <w:sz w:val="22"/>
        </w:rPr>
      </w:pPr>
      <w:r>
        <w:rPr>
          <w:b/>
          <w:sz w:val="22"/>
        </w:rPr>
      </w:r>
    </w:p>
    <w:p>
      <w:pPr>
        <w:pStyle w:val="BodyText"/>
        <w:rPr>
          <w:sz w:val="26"/>
          <w:u w:val="single"/>
        </w:rPr>
      </w:pPr>
      <w:r>
        <w:rPr>
          <w:sz w:val="26"/>
          <w:u w:val="single"/>
        </w:rPr>
        <w:t>Consistently Embraced New Challenges, Unique in the History of Enron and Significant to the Extent They Will Impact Work Life Experience and Support Strategic Business Interests</w:t>
      </w:r>
    </w:p>
    <w:p>
      <w:pPr>
        <w:pStyle w:val="Normal"/>
        <w:numPr>
          <w:ilvl w:val="0"/>
          <w:numId w:val="6"/>
        </w:numPr>
        <w:jc w:val="both"/>
        <w:rPr>
          <w:sz w:val="22"/>
        </w:rPr>
      </w:pPr>
      <w:r>
        <w:rPr>
          <w:b/>
          <w:sz w:val="22"/>
        </w:rPr>
        <w:t>Development of the Enron Center Project remains squarely on track to meet budget and schedule commitments.  More importantly we are creating, through our design and management direction, a “state of the art” urban corporate office campus, an asset with unprecedented return on our investment.</w:t>
      </w:r>
    </w:p>
    <w:p>
      <w:pPr>
        <w:pStyle w:val="Normal"/>
        <w:numPr>
          <w:ilvl w:val="0"/>
          <w:numId w:val="6"/>
        </w:numPr>
        <w:jc w:val="both"/>
        <w:rPr>
          <w:sz w:val="22"/>
        </w:rPr>
      </w:pPr>
      <w:r>
        <w:rPr>
          <w:b/>
          <w:sz w:val="22"/>
        </w:rPr>
        <w:t xml:space="preserve">Met the dual challenge of housing tremendous (33%) annual increase in our Houston population (11,800 employees and contractors) and mitigating potential long term rent exposure.  We achieved this through negotiating short-term leases and fast tracking the design, construction, and occupancy of 300,000 sq. ft. of adjacent office space within a 15-month period (equivalent in size to one third of the Enron Building).  In addition, we acquired 1,300 additional parking stalls through short-term leases.  </w:t>
      </w:r>
    </w:p>
    <w:p>
      <w:pPr>
        <w:pStyle w:val="Normal"/>
        <w:numPr>
          <w:ilvl w:val="0"/>
          <w:numId w:val="6"/>
        </w:numPr>
        <w:jc w:val="both"/>
        <w:rPr>
          <w:sz w:val="22"/>
        </w:rPr>
      </w:pPr>
      <w:r>
        <w:rPr>
          <w:b/>
          <w:sz w:val="22"/>
        </w:rPr>
        <w:t>Restructured and right-sized our Corporate Aviation fleet</w:t>
      </w:r>
    </w:p>
    <w:p>
      <w:pPr>
        <w:pStyle w:val="Normal"/>
        <w:numPr>
          <w:ilvl w:val="0"/>
          <w:numId w:val="6"/>
        </w:numPr>
        <w:jc w:val="both"/>
        <w:rPr>
          <w:sz w:val="22"/>
        </w:rPr>
      </w:pPr>
      <w:r>
        <w:rPr>
          <w:b/>
          <w:sz w:val="22"/>
        </w:rPr>
        <w:t xml:space="preserve">Originated and implemented new initiatives, i.e. Enron TV and elevator/Plaza monitors, Child Care development, Body Shop improvements, reliable employee/contractor tracking data base, consolidation of phone and facility help desk operators, lead Enron in MWBE spend (@ 36% of expense budget and 28% of Enron Center budget)  </w:t>
      </w:r>
    </w:p>
    <w:p>
      <w:pPr>
        <w:pStyle w:val="Normal"/>
        <w:jc w:val="both"/>
        <w:rPr>
          <w:b/>
          <w:sz w:val="22"/>
        </w:rPr>
      </w:pPr>
      <w:r>
        <w:rPr>
          <w:b/>
          <w:sz w:val="22"/>
        </w:rPr>
      </w:r>
    </w:p>
    <w:p>
      <w:pPr>
        <w:pStyle w:val="BodyText"/>
        <w:rPr>
          <w:sz w:val="26"/>
          <w:u w:val="single"/>
        </w:rPr>
      </w:pPr>
      <w:r>
        <w:rPr>
          <w:sz w:val="26"/>
          <w:u w:val="single"/>
        </w:rPr>
        <w:t>Re-invented Ourselves by Establishing a “Property” Strategy Focused on Development Verse Operations</w:t>
      </w:r>
    </w:p>
    <w:p>
      <w:pPr>
        <w:pStyle w:val="Normal"/>
        <w:numPr>
          <w:ilvl w:val="0"/>
          <w:numId w:val="4"/>
        </w:numPr>
        <w:jc w:val="both"/>
        <w:rPr>
          <w:sz w:val="22"/>
        </w:rPr>
      </w:pPr>
      <w:r>
        <w:rPr>
          <w:b/>
          <w:sz w:val="22"/>
        </w:rPr>
        <w:t>Voluntarily initiated year-end organizational change by transferring daily responsibility of Houston and Omaha facility and building operations to EES, partnering to leverage their position in the marketplace and allowing EPSC to increase focus and maximize energies towards development of Enron’s commercial office assets.</w:t>
      </w:r>
      <w:r>
        <w:rPr>
          <w:sz w:val="22"/>
        </w:rPr>
        <w:t xml:space="preserve"> </w:t>
      </w:r>
    </w:p>
    <w:p>
      <w:pPr>
        <w:pStyle w:val="Normal"/>
        <w:jc w:val="both"/>
        <w:rPr>
          <w:sz w:val="22"/>
        </w:rPr>
      </w:pPr>
      <w:r>
        <w:rPr>
          <w:sz w:val="22"/>
        </w:rPr>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r>
    </w:p>
    <w:p>
      <w:pPr>
        <w:pStyle w:val="Normal"/>
        <w:pBdr>
          <w:top w:val="single" w:sz="4" w:space="3" w:color="000000"/>
          <w:bottom w:val="single" w:sz="4" w:space="1" w:color="000000"/>
        </w:pBdr>
        <w:jc w:val="center"/>
        <w:rPr>
          <w:b/>
          <w:sz w:val="24"/>
        </w:rPr>
      </w:pPr>
      <w:r>
        <w:rPr>
          <w:b/>
          <w:sz w:val="24"/>
        </w:rPr>
        <w:t>Enron Corporate Administrative Services (ECAS)</w:t>
      </w:r>
    </w:p>
    <w:p>
      <w:pPr>
        <w:pStyle w:val="Heading1"/>
        <w:ind w:hanging="0" w:start="0"/>
        <w:rPr>
          <w:b w:val="false"/>
          <w:sz w:val="32"/>
        </w:rPr>
      </w:pPr>
      <w:r>
        <w:rPr>
          <w:b w:val="false"/>
          <w:sz w:val="32"/>
        </w:rPr>
      </w:r>
    </w:p>
    <w:p>
      <w:pPr>
        <w:pStyle w:val="Heading1"/>
        <w:ind w:hanging="0" w:start="0"/>
        <w:rPr>
          <w:sz w:val="32"/>
        </w:rPr>
      </w:pPr>
      <w:r>
        <w:rPr>
          <w:sz w:val="32"/>
        </w:rPr>
        <w:t xml:space="preserve">Year End 2000 </w:t>
      </w:r>
    </w:p>
    <w:p>
      <w:pPr>
        <w:pStyle w:val="Normal"/>
        <w:rPr>
          <w:sz w:val="32"/>
        </w:rPr>
      </w:pPr>
      <w:r>
        <w:rPr>
          <w:sz w:val="32"/>
        </w:rPr>
      </w:r>
    </w:p>
    <w:p>
      <w:pPr>
        <w:pStyle w:val="Heading3"/>
        <w:ind w:hanging="0" w:start="0"/>
        <w:rPr/>
      </w:pPr>
      <w:r>
        <w:rPr/>
        <w:t>Specific Accomplishments</w:t>
      </w:r>
    </w:p>
    <w:p>
      <w:pPr>
        <w:pStyle w:val="Normal"/>
        <w:rPr>
          <w:b/>
          <w:sz w:val="22"/>
        </w:rPr>
      </w:pPr>
      <w:r>
        <w:rPr>
          <w:b/>
          <w:sz w:val="22"/>
        </w:rPr>
      </w:r>
    </w:p>
    <w:p>
      <w:pPr>
        <w:pStyle w:val="Heading4"/>
        <w:ind w:hanging="0" w:start="0"/>
        <w:rPr/>
      </w:pPr>
      <w:r>
        <w:rPr/>
        <w:t>Enron Center Project Management</w:t>
      </w:r>
    </w:p>
    <w:p>
      <w:pPr>
        <w:pStyle w:val="Normal"/>
        <w:rPr/>
      </w:pPr>
      <w:r>
        <w:rPr/>
      </w:r>
    </w:p>
    <w:p>
      <w:pPr>
        <w:pStyle w:val="Normal"/>
        <w:numPr>
          <w:ilvl w:val="0"/>
          <w:numId w:val="3"/>
        </w:numPr>
        <w:rPr>
          <w:b/>
          <w:sz w:val="22"/>
        </w:rPr>
      </w:pPr>
      <w:r>
        <w:rPr>
          <w:b/>
          <w:sz w:val="22"/>
        </w:rPr>
        <w:t xml:space="preserve">Established our “One Thousand in Ten” team challenge, i.e. one thousand employees working out of the lower floors with 10 months </w:t>
      </w:r>
    </w:p>
    <w:p>
      <w:pPr>
        <w:pStyle w:val="Normal"/>
        <w:numPr>
          <w:ilvl w:val="0"/>
          <w:numId w:val="3"/>
        </w:numPr>
        <w:rPr>
          <w:b/>
          <w:sz w:val="22"/>
        </w:rPr>
      </w:pPr>
      <w:r>
        <w:rPr>
          <w:b/>
          <w:sz w:val="22"/>
        </w:rPr>
        <w:t>Awarded $200 mill. in fixed price construction contracts and remain squarely on track to reach our final $300 mill. Goal</w:t>
      </w:r>
    </w:p>
    <w:p>
      <w:pPr>
        <w:pStyle w:val="Normal"/>
        <w:numPr>
          <w:ilvl w:val="0"/>
          <w:numId w:val="3"/>
        </w:numPr>
        <w:rPr>
          <w:b/>
          <w:sz w:val="22"/>
        </w:rPr>
      </w:pPr>
      <w:r>
        <w:rPr>
          <w:b/>
          <w:sz w:val="22"/>
        </w:rPr>
        <w:t>Completed interior design documents on 350K sq. ft. on podium floors (cafeteria, trading, computer, and executive)</w:t>
      </w:r>
    </w:p>
    <w:p>
      <w:pPr>
        <w:pStyle w:val="Normal"/>
        <w:numPr>
          <w:ilvl w:val="0"/>
          <w:numId w:val="3"/>
        </w:numPr>
        <w:rPr>
          <w:b/>
          <w:sz w:val="22"/>
        </w:rPr>
      </w:pPr>
      <w:r>
        <w:rPr>
          <w:b/>
          <w:sz w:val="22"/>
        </w:rPr>
        <w:t>On target to attain 28% MWBE goal</w:t>
      </w:r>
    </w:p>
    <w:p>
      <w:pPr>
        <w:pStyle w:val="Normal"/>
        <w:numPr>
          <w:ilvl w:val="0"/>
          <w:numId w:val="3"/>
        </w:numPr>
        <w:rPr>
          <w:b/>
          <w:sz w:val="22"/>
        </w:rPr>
      </w:pPr>
      <w:r>
        <w:rPr>
          <w:b/>
          <w:sz w:val="22"/>
        </w:rPr>
        <w:t>Implemented CCIP insurance package yielding $700K in savings to date</w:t>
      </w:r>
    </w:p>
    <w:p>
      <w:pPr>
        <w:pStyle w:val="Normal"/>
        <w:numPr>
          <w:ilvl w:val="0"/>
          <w:numId w:val="3"/>
        </w:numPr>
        <w:rPr>
          <w:b/>
          <w:sz w:val="22"/>
        </w:rPr>
      </w:pPr>
      <w:r>
        <w:rPr>
          <w:b/>
          <w:sz w:val="22"/>
        </w:rPr>
        <w:t xml:space="preserve">Incorporated employee feedback (Design Day in the Plaza, focus teams) into plans for common areas, i.e. food service, fitness center, employee “fun” area, convenience stores, etc. </w:t>
      </w:r>
    </w:p>
    <w:p>
      <w:pPr>
        <w:pStyle w:val="Normal"/>
        <w:numPr>
          <w:ilvl w:val="0"/>
          <w:numId w:val="3"/>
        </w:numPr>
        <w:rPr>
          <w:b/>
          <w:sz w:val="22"/>
        </w:rPr>
      </w:pPr>
      <w:r>
        <w:rPr>
          <w:b/>
          <w:sz w:val="22"/>
        </w:rPr>
        <w:t xml:space="preserve">Installed “live action camera” video feed over Enron’s LAN  </w:t>
      </w:r>
    </w:p>
    <w:p>
      <w:pPr>
        <w:pStyle w:val="Normal"/>
        <w:rPr>
          <w:b/>
          <w:sz w:val="22"/>
        </w:rPr>
      </w:pPr>
      <w:r>
        <w:rPr>
          <w:b/>
          <w:sz w:val="22"/>
        </w:rPr>
      </w:r>
    </w:p>
    <w:p>
      <w:pPr>
        <w:pStyle w:val="Heading4"/>
        <w:tabs>
          <w:tab w:val="clear" w:pos="720"/>
          <w:tab w:val="left" w:pos="420" w:leader="none"/>
        </w:tabs>
        <w:ind w:hanging="0" w:start="0"/>
        <w:rPr/>
      </w:pPr>
      <w:r>
        <w:rPr/>
        <w:t>Houston Based Project Development (designed, constructed, and churned)</w:t>
      </w:r>
    </w:p>
    <w:p>
      <w:pPr>
        <w:pStyle w:val="Normal"/>
        <w:rPr/>
      </w:pPr>
      <w:r>
        <w:rPr/>
      </w:r>
    </w:p>
    <w:p>
      <w:pPr>
        <w:pStyle w:val="Normal"/>
        <w:numPr>
          <w:ilvl w:val="0"/>
          <w:numId w:val="6"/>
        </w:numPr>
        <w:jc w:val="both"/>
        <w:rPr>
          <w:b/>
        </w:rPr>
      </w:pPr>
      <w:r>
        <w:rPr>
          <w:b/>
          <w:sz w:val="22"/>
        </w:rPr>
        <w:t xml:space="preserve">Completed or have in progress 25 full floor renovations, i.e. four floors for Global IT, four floors for Enron Wholesale, five floors of EES re-stack, five floors at 500 and 600 Jefferson, two floors for Corporate, three floors for Broadband, and two “swing” floors </w:t>
      </w:r>
    </w:p>
    <w:p>
      <w:pPr>
        <w:pStyle w:val="Normal"/>
        <w:numPr>
          <w:ilvl w:val="0"/>
          <w:numId w:val="6"/>
        </w:numPr>
        <w:jc w:val="both"/>
        <w:rPr>
          <w:b/>
        </w:rPr>
      </w:pPr>
      <w:r>
        <w:rPr>
          <w:b/>
          <w:sz w:val="22"/>
        </w:rPr>
        <w:t xml:space="preserve">Opened 1,700 project work orders (42% increase from prior year) representing construction renovations of $31.5 million (45% increase from prior year) </w:t>
      </w:r>
    </w:p>
    <w:p>
      <w:pPr>
        <w:pStyle w:val="Normal"/>
        <w:numPr>
          <w:ilvl w:val="0"/>
          <w:numId w:val="6"/>
        </w:numPr>
        <w:jc w:val="both"/>
        <w:rPr>
          <w:b/>
        </w:rPr>
      </w:pPr>
      <w:r>
        <w:rPr>
          <w:b/>
          <w:sz w:val="22"/>
        </w:rPr>
        <w:t xml:space="preserve">Completed 45,600 requests to connect phone/data (110% increase from prior year), including 8,400 employee office relocations (annual churn rate @ 100%).  Increased capacity to effect large numbers of office relocations (common to move 500 employees per week) </w:t>
      </w:r>
    </w:p>
    <w:p>
      <w:pPr>
        <w:pStyle w:val="Normal"/>
        <w:numPr>
          <w:ilvl w:val="0"/>
          <w:numId w:val="6"/>
        </w:numPr>
        <w:jc w:val="both"/>
        <w:rPr>
          <w:b/>
        </w:rPr>
      </w:pPr>
      <w:r>
        <w:rPr>
          <w:b/>
          <w:sz w:val="22"/>
        </w:rPr>
        <w:t>Completed $2.4 mill. improvement project on 60K sq. ft. of newly leased Shepherd warehouse space for Broadband</w:t>
      </w:r>
    </w:p>
    <w:p>
      <w:pPr>
        <w:pStyle w:val="Normal"/>
        <w:numPr>
          <w:ilvl w:val="0"/>
          <w:numId w:val="6"/>
        </w:numPr>
        <w:jc w:val="both"/>
        <w:rPr>
          <w:b/>
        </w:rPr>
      </w:pPr>
      <w:r>
        <w:rPr>
          <w:b/>
          <w:sz w:val="22"/>
        </w:rPr>
        <w:t>Upgraded Ardmore Computer Center backup power systems ($1.8 million)</w:t>
      </w:r>
    </w:p>
    <w:p>
      <w:pPr>
        <w:pStyle w:val="Normal"/>
        <w:numPr>
          <w:ilvl w:val="0"/>
          <w:numId w:val="6"/>
        </w:numPr>
        <w:jc w:val="both"/>
        <w:rPr>
          <w:b/>
        </w:rPr>
      </w:pPr>
      <w:r>
        <w:rPr>
          <w:b/>
          <w:sz w:val="22"/>
        </w:rPr>
        <w:t>Completed Construction on Body Shop expansion/renovation project and completed design and bid award of Child Care facility</w:t>
      </w:r>
    </w:p>
    <w:p>
      <w:pPr>
        <w:pStyle w:val="Normal"/>
        <w:numPr>
          <w:ilvl w:val="0"/>
          <w:numId w:val="6"/>
        </w:numPr>
        <w:jc w:val="both"/>
        <w:rPr>
          <w:b/>
        </w:rPr>
      </w:pPr>
      <w:r>
        <w:rPr>
          <w:b/>
          <w:sz w:val="22"/>
        </w:rPr>
        <w:t>Purchased and installed 1,450 new workstations and office furniture sets ($11 mill.) and re-deployed 1,200 existing workstations, desk, etc. from stock</w:t>
      </w:r>
    </w:p>
    <w:p>
      <w:pPr>
        <w:pStyle w:val="Normal"/>
        <w:numPr>
          <w:ilvl w:val="0"/>
          <w:numId w:val="6"/>
        </w:numPr>
        <w:jc w:val="both"/>
        <w:rPr>
          <w:b/>
        </w:rPr>
      </w:pPr>
      <w:r>
        <w:rPr>
          <w:b/>
          <w:sz w:val="22"/>
        </w:rPr>
        <w:t>Mitigated significant financial risk on potential $18 million outlay by deferring construction of parking garage at Enron Field – while retaining positive relations with Astros</w:t>
      </w:r>
    </w:p>
    <w:p>
      <w:pPr>
        <w:pStyle w:val="Normal"/>
        <w:jc w:val="both"/>
        <w:rPr>
          <w:b/>
        </w:rPr>
      </w:pPr>
      <w:r>
        <w:rPr>
          <w:b/>
        </w:rPr>
      </w:r>
    </w:p>
    <w:p>
      <w:pPr>
        <w:pStyle w:val="Normal"/>
        <w:jc w:val="both"/>
        <w:rPr>
          <w:b/>
        </w:rPr>
      </w:pPr>
      <w:r>
        <w:rPr>
          <w:b/>
        </w:rPr>
      </w:r>
    </w:p>
    <w:p>
      <w:pPr>
        <w:pStyle w:val="Normal"/>
        <w:jc w:val="both"/>
        <w:rPr>
          <w:b/>
        </w:rPr>
      </w:pPr>
      <w:r>
        <w:rPr>
          <w:b/>
        </w:rPr>
      </w:r>
    </w:p>
    <w:p>
      <w:pPr>
        <w:pStyle w:val="Heading5"/>
        <w:ind w:hanging="0" w:start="0"/>
        <w:rPr/>
      </w:pPr>
      <w:r>
        <w:rPr/>
        <w:t>Real Estate and Remote Projects</w:t>
      </w:r>
    </w:p>
    <w:p>
      <w:pPr>
        <w:pStyle w:val="Normal"/>
        <w:rPr/>
      </w:pPr>
      <w:r>
        <w:rPr/>
      </w:r>
    </w:p>
    <w:p>
      <w:pPr>
        <w:pStyle w:val="Normal"/>
        <w:numPr>
          <w:ilvl w:val="0"/>
          <w:numId w:val="7"/>
        </w:numPr>
        <w:jc w:val="both"/>
        <w:rPr>
          <w:b/>
          <w:sz w:val="22"/>
        </w:rPr>
      </w:pPr>
      <w:r>
        <w:rPr>
          <w:b/>
          <w:sz w:val="22"/>
        </w:rPr>
        <w:t xml:space="preserve">Captured $1,065,000 of real estate commission income, returning 75% back to Business Units (net of costs).  Sold over $2.0 million in surplus real estate assets.  </w:t>
      </w:r>
    </w:p>
    <w:p>
      <w:pPr>
        <w:pStyle w:val="Normal"/>
        <w:numPr>
          <w:ilvl w:val="0"/>
          <w:numId w:val="7"/>
        </w:numPr>
        <w:jc w:val="both"/>
        <w:rPr>
          <w:b/>
          <w:sz w:val="22"/>
        </w:rPr>
      </w:pPr>
      <w:r>
        <w:rPr>
          <w:b/>
          <w:sz w:val="22"/>
        </w:rPr>
        <w:t>Leased 230K sq. ft. of telecomm space (POP centers) across USA for Broadband</w:t>
      </w:r>
    </w:p>
    <w:p>
      <w:pPr>
        <w:pStyle w:val="Normal"/>
        <w:numPr>
          <w:ilvl w:val="0"/>
          <w:numId w:val="6"/>
        </w:numPr>
        <w:jc w:val="both"/>
        <w:rPr>
          <w:b/>
        </w:rPr>
      </w:pPr>
      <w:r>
        <w:rPr>
          <w:b/>
          <w:sz w:val="22"/>
        </w:rPr>
        <w:t>Developed over 80,000 sq. ft. of office projects in WDC, NYC, Chicago, Denver, Hinsdale, Atlanta, and Tokyo</w:t>
      </w:r>
    </w:p>
    <w:p>
      <w:pPr>
        <w:pStyle w:val="Normal"/>
        <w:jc w:val="both"/>
        <w:rPr>
          <w:b/>
        </w:rPr>
      </w:pPr>
      <w:r>
        <w:rPr>
          <w:b/>
        </w:rPr>
      </w:r>
    </w:p>
    <w:p>
      <w:pPr>
        <w:pStyle w:val="Heading5"/>
        <w:ind w:hanging="0" w:start="0"/>
        <w:rPr/>
      </w:pPr>
      <w:r>
        <w:rPr/>
        <w:t>Administrative Services and Property Management</w:t>
      </w:r>
    </w:p>
    <w:p>
      <w:pPr>
        <w:pStyle w:val="Normal"/>
        <w:rPr/>
      </w:pPr>
      <w:r>
        <w:rPr/>
      </w:r>
    </w:p>
    <w:p>
      <w:pPr>
        <w:pStyle w:val="Normal"/>
        <w:numPr>
          <w:ilvl w:val="0"/>
          <w:numId w:val="2"/>
        </w:numPr>
        <w:jc w:val="both"/>
        <w:rPr>
          <w:b/>
        </w:rPr>
      </w:pPr>
      <w:r>
        <w:rPr>
          <w:b/>
          <w:sz w:val="24"/>
        </w:rPr>
        <w:t>Incorporated Enron’s Phone Operators into ECAS and in process of consolidating this function with our Facility Help Desk, cross training staff for improved efficiencies and job interest.</w:t>
      </w:r>
    </w:p>
    <w:p>
      <w:pPr>
        <w:pStyle w:val="Normal"/>
        <w:numPr>
          <w:ilvl w:val="0"/>
          <w:numId w:val="2"/>
        </w:numPr>
        <w:jc w:val="both"/>
        <w:rPr>
          <w:b/>
        </w:rPr>
      </w:pPr>
      <w:r>
        <w:rPr>
          <w:b/>
          <w:sz w:val="24"/>
        </w:rPr>
        <w:t>Dispatched 52,000 facility service tickets and 9,250 for AV set-ups.</w:t>
      </w:r>
    </w:p>
    <w:p>
      <w:pPr>
        <w:pStyle w:val="Normal"/>
        <w:numPr>
          <w:ilvl w:val="0"/>
          <w:numId w:val="2"/>
        </w:numPr>
        <w:jc w:val="both"/>
        <w:rPr>
          <w:b/>
        </w:rPr>
      </w:pPr>
      <w:r>
        <w:rPr>
          <w:b/>
          <w:sz w:val="24"/>
        </w:rPr>
        <w:t>Processed 720,000 internal cost transfer transactions per year to 360 cost centers, pushing out $120 million in cost and forcing Business Unit accountability and related efficiencies</w:t>
      </w:r>
    </w:p>
    <w:p>
      <w:pPr>
        <w:pStyle w:val="Normal"/>
        <w:numPr>
          <w:ilvl w:val="0"/>
          <w:numId w:val="2"/>
        </w:numPr>
        <w:jc w:val="both"/>
        <w:rPr>
          <w:b/>
        </w:rPr>
      </w:pPr>
      <w:r>
        <w:rPr>
          <w:b/>
          <w:sz w:val="24"/>
        </w:rPr>
        <w:t>Worked with Enron Tax to lower HCAD valuation of EB, saving  $653K</w:t>
      </w:r>
    </w:p>
    <w:p>
      <w:pPr>
        <w:pStyle w:val="Normal"/>
        <w:numPr>
          <w:ilvl w:val="0"/>
          <w:numId w:val="2"/>
        </w:numPr>
        <w:jc w:val="both"/>
        <w:rPr>
          <w:b/>
        </w:rPr>
      </w:pPr>
      <w:r>
        <w:rPr>
          <w:b/>
          <w:sz w:val="24"/>
        </w:rPr>
        <w:t>Installed infrastructure for Enron’s ETV system, a Plaza video wall, 42 flat screen monitors in elevator cabs, and 20 TV’s in 3AC elevator lobbies.  Project was very demanding technically and driven by aggressive budget and schedule constraints.</w:t>
      </w:r>
    </w:p>
    <w:p>
      <w:pPr>
        <w:pStyle w:val="Normal"/>
        <w:numPr>
          <w:ilvl w:val="0"/>
          <w:numId w:val="2"/>
        </w:numPr>
        <w:jc w:val="both"/>
        <w:rPr>
          <w:b/>
        </w:rPr>
      </w:pPr>
      <w:r>
        <w:rPr>
          <w:b/>
          <w:sz w:val="24"/>
        </w:rPr>
        <w:t>Innovated efficiencies into our Mailroom and Copy Center operations by consolidating functions into the same physical area, under single outsourcer.  Staff productivity increases through multi-tasking and demand leveling.</w:t>
      </w:r>
    </w:p>
    <w:p>
      <w:pPr>
        <w:pStyle w:val="Normal"/>
        <w:numPr>
          <w:ilvl w:val="0"/>
          <w:numId w:val="2"/>
        </w:numPr>
        <w:jc w:val="both"/>
        <w:rPr>
          <w:b/>
        </w:rPr>
      </w:pPr>
      <w:r>
        <w:rPr>
          <w:b/>
          <w:sz w:val="24"/>
        </w:rPr>
        <w:t>Centralizing shipping and receiving, express mail, and supplies/package delivery systems within Enron Building.  Single outsourcer will consolidate all incoming materials from new basement location for delivery to end-user, improving timeliness and accuracy plus enhancing security (eliminates multiple 3</w:t>
      </w:r>
      <w:r>
        <w:rPr>
          <w:b/>
          <w:sz w:val="24"/>
          <w:vertAlign w:val="superscript"/>
        </w:rPr>
        <w:t>rd</w:t>
      </w:r>
      <w:r>
        <w:rPr>
          <w:b/>
          <w:sz w:val="24"/>
        </w:rPr>
        <w:t xml:space="preserve"> parties accessing Enron Building floors).</w:t>
      </w:r>
    </w:p>
    <w:p>
      <w:pPr>
        <w:pStyle w:val="Normal"/>
        <w:numPr>
          <w:ilvl w:val="0"/>
          <w:numId w:val="2"/>
        </w:numPr>
        <w:jc w:val="both"/>
        <w:rPr>
          <w:b/>
        </w:rPr>
      </w:pPr>
      <w:r>
        <w:rPr>
          <w:b/>
          <w:sz w:val="24"/>
        </w:rPr>
        <w:t>Pushed Food Service contractor to experiment with locally branded products on the servery (ex. Fusion Café).  Re-inventing 2</w:t>
      </w:r>
      <w:r>
        <w:rPr>
          <w:b/>
          <w:sz w:val="24"/>
          <w:vertAlign w:val="superscript"/>
        </w:rPr>
        <w:t>nd</w:t>
      </w:r>
      <w:r>
        <w:rPr>
          <w:b/>
          <w:sz w:val="24"/>
        </w:rPr>
        <w:t xml:space="preserve"> floor convenience store by re-naming it “Endless Possibilities” and incorporating Enron’s “Signature Store” line of products.</w:t>
      </w:r>
    </w:p>
    <w:p>
      <w:pPr>
        <w:pStyle w:val="Normal"/>
        <w:numPr>
          <w:ilvl w:val="0"/>
          <w:numId w:val="2"/>
        </w:numPr>
        <w:jc w:val="both"/>
        <w:rPr>
          <w:b/>
        </w:rPr>
      </w:pPr>
      <w:r>
        <w:rPr>
          <w:b/>
          <w:sz w:val="24"/>
        </w:rPr>
        <w:t xml:space="preserve">Completed $750K of office renovation work at Omaha’s TPP facility.  Developed detailed review of cost saving opportunities (workplace density paybacks and facility operating changes) and presented to ETS and Plains senior management. </w:t>
      </w:r>
    </w:p>
    <w:p>
      <w:pPr>
        <w:pStyle w:val="Normal"/>
        <w:jc w:val="both"/>
        <w:rPr>
          <w:b/>
        </w:rPr>
      </w:pPr>
      <w:r>
        <w:rPr>
          <w:b/>
        </w:rPr>
      </w:r>
    </w:p>
    <w:p>
      <w:pPr>
        <w:pStyle w:val="Heading5"/>
        <w:ind w:hanging="0" w:start="0"/>
        <w:rPr/>
      </w:pPr>
      <w:r>
        <w:rPr/>
        <w:t>Corporate Aviation and Security</w:t>
      </w:r>
    </w:p>
    <w:p>
      <w:pPr>
        <w:pStyle w:val="Normal"/>
        <w:rPr/>
      </w:pPr>
      <w:r>
        <w:rPr/>
      </w:r>
    </w:p>
    <w:p>
      <w:pPr>
        <w:pStyle w:val="Normal"/>
        <w:numPr>
          <w:ilvl w:val="0"/>
          <w:numId w:val="2"/>
        </w:numPr>
        <w:jc w:val="both"/>
        <w:rPr>
          <w:b/>
        </w:rPr>
      </w:pPr>
      <w:r>
        <w:rPr>
          <w:b/>
          <w:sz w:val="24"/>
        </w:rPr>
        <w:t>Restructured our aircraft Fleet, reducing future annual costs by $2.3 million.  Negotiated sale of Falcon 50, fully recovering original investment price after nine years of use.  Accepted two Hawker 800’s at accelerated deliveries dates while enjoying interim use of a loaner aircraft, representing $450K value.</w:t>
      </w:r>
    </w:p>
    <w:p>
      <w:pPr>
        <w:pStyle w:val="Normal"/>
        <w:numPr>
          <w:ilvl w:val="0"/>
          <w:numId w:val="2"/>
        </w:numPr>
        <w:jc w:val="both"/>
        <w:rPr>
          <w:b/>
        </w:rPr>
      </w:pPr>
      <w:r>
        <w:rPr>
          <w:b/>
          <w:sz w:val="24"/>
        </w:rPr>
        <w:t xml:space="preserve">Negotiated contract for purchase of Gulfstream V, reaching final discounted price $3.1 mill. below initial offer.  </w:t>
      </w:r>
    </w:p>
    <w:p>
      <w:pPr>
        <w:pStyle w:val="Normal"/>
        <w:jc w:val="both"/>
        <w:rPr>
          <w:b/>
        </w:rPr>
      </w:pPr>
      <w:r>
        <w:rPr>
          <w:b/>
        </w:rPr>
      </w:r>
    </w:p>
    <w:p>
      <w:pPr>
        <w:pStyle w:val="Normal"/>
        <w:jc w:val="both"/>
        <w:rPr>
          <w:b/>
        </w:rPr>
      </w:pPr>
      <w:r>
        <w:rPr>
          <w:b/>
        </w:rPr>
      </w:r>
    </w:p>
    <w:p>
      <w:pPr>
        <w:pStyle w:val="Normal"/>
        <w:numPr>
          <w:ilvl w:val="0"/>
          <w:numId w:val="2"/>
        </w:numPr>
        <w:jc w:val="both"/>
        <w:rPr>
          <w:b/>
        </w:rPr>
      </w:pPr>
      <w:r>
        <w:rPr>
          <w:b/>
          <w:sz w:val="24"/>
        </w:rPr>
        <w:t>Developed low cost solution to deficient hanger space by acquiring Williams facility at 30% below asking price.</w:t>
      </w:r>
    </w:p>
    <w:p>
      <w:pPr>
        <w:pStyle w:val="Normal"/>
        <w:numPr>
          <w:ilvl w:val="0"/>
          <w:numId w:val="2"/>
        </w:numPr>
        <w:jc w:val="both"/>
        <w:rPr>
          <w:b/>
        </w:rPr>
      </w:pPr>
      <w:r>
        <w:rPr>
          <w:b/>
          <w:sz w:val="24"/>
        </w:rPr>
        <w:t>Completed 1,900 individual flights and continued to maintain reliability rates over 99%</w:t>
      </w:r>
    </w:p>
    <w:p>
      <w:pPr>
        <w:pStyle w:val="Normal"/>
        <w:numPr>
          <w:ilvl w:val="0"/>
          <w:numId w:val="2"/>
        </w:numPr>
        <w:jc w:val="both"/>
        <w:rPr>
          <w:b/>
        </w:rPr>
      </w:pPr>
      <w:r>
        <w:rPr>
          <w:b/>
          <w:sz w:val="24"/>
        </w:rPr>
        <w:t xml:space="preserve">Corporate Security facilitates monthly coordination forum involving respective counterparts from each Business Unit.  Our site assessment work takes us to South America, Asia, the Middle East, and Europe.  Our office represents Enron on the President’s Commission on Critical Infrastructure Protection.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jc w:val="both"/>
      <w:outlineLvl w:val="5"/>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2001-01-05T13:23:00Z</dcterms:created>
  <dc:creator>bdonova</dc:creator>
  <dc:description/>
  <dc:language>en-CA</dc:language>
  <cp:lastModifiedBy>ngarcia</cp:lastModifiedBy>
  <cp:lastPrinted>2001-01-05T08:47:00Z</cp:lastPrinted>
  <dcterms:modified xsi:type="dcterms:W3CDTF">2001-01-05T13:23:00Z</dcterms:modified>
  <cp:revision>2</cp:revision>
  <dc:subject/>
  <dc:title>Enron Corporate Administrative Services (ECAS)</dc:title>
</cp:coreProperties>
</file>