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3" w:color="000000"/>
          <w:bottom w:val="single" w:sz="4" w:space="1" w:color="000000"/>
        </w:pBdr>
        <w:jc w:val="center"/>
        <w:rPr>
          <w:b/>
          <w:sz w:val="24"/>
        </w:rPr>
      </w:pPr>
      <w:r>
        <w:rPr>
          <w:b/>
          <w:sz w:val="24"/>
        </w:rPr>
        <w:t>Enron Corporate Administrative Services (ECAS)</w:t>
      </w:r>
    </w:p>
    <w:p>
      <w:pPr>
        <w:pStyle w:val="Normal"/>
        <w:jc w:val="center"/>
        <w:rPr>
          <w:b/>
          <w:sz w:val="24"/>
        </w:rPr>
      </w:pPr>
      <w:r>
        <w:rPr>
          <w:b/>
          <w:sz w:val="24"/>
        </w:rPr>
      </w:r>
    </w:p>
    <w:p>
      <w:pPr>
        <w:pStyle w:val="Heading1"/>
        <w:ind w:hanging="0" w:start="0"/>
        <w:rPr>
          <w:sz w:val="32"/>
        </w:rPr>
      </w:pPr>
      <w:r>
        <w:rPr>
          <w:sz w:val="32"/>
        </w:rPr>
        <w:t>Mid Year 2000 Accomplishments</w:t>
      </w:r>
    </w:p>
    <w:p>
      <w:pPr>
        <w:pStyle w:val="Normal"/>
        <w:jc w:val="center"/>
        <w:rPr>
          <w:b/>
          <w:sz w:val="28"/>
        </w:rPr>
      </w:pPr>
      <w:r>
        <w:rPr>
          <w:b/>
          <w:sz w:val="28"/>
        </w:rPr>
      </w:r>
    </w:p>
    <w:p>
      <w:pPr>
        <w:pStyle w:val="Heading2"/>
        <w:ind w:hanging="0" w:start="0"/>
        <w:jc w:val="both"/>
        <w:rPr>
          <w:u w:val="single"/>
        </w:rPr>
      </w:pPr>
      <w:r>
        <w:rPr>
          <w:u w:val="single"/>
        </w:rPr>
        <w:t xml:space="preserve">Summary – Six Month Accomplishments </w:t>
      </w:r>
    </w:p>
    <w:p>
      <w:pPr>
        <w:pStyle w:val="Normal"/>
        <w:rPr>
          <w:u w:val="single"/>
        </w:rPr>
      </w:pPr>
      <w:r>
        <w:rPr>
          <w:u w:val="single"/>
        </w:rPr>
      </w:r>
    </w:p>
    <w:p>
      <w:pPr>
        <w:pStyle w:val="Normal"/>
        <w:rPr>
          <w:b/>
          <w:sz w:val="22"/>
        </w:rPr>
      </w:pPr>
      <w:r>
        <w:rPr>
          <w:b/>
          <w:sz w:val="22"/>
        </w:rPr>
      </w:r>
    </w:p>
    <w:p>
      <w:pPr>
        <w:pStyle w:val="Normal"/>
        <w:numPr>
          <w:ilvl w:val="0"/>
          <w:numId w:val="4"/>
        </w:numPr>
        <w:jc w:val="both"/>
        <w:rPr>
          <w:sz w:val="22"/>
        </w:rPr>
      </w:pPr>
      <w:r>
        <w:rPr>
          <w:b/>
          <w:sz w:val="22"/>
        </w:rPr>
        <w:t>We continue to maintain solid operational control and efficiencies in our core business.  We operate Enron’s best, most comprehensive and transparent ”direct charge” internal cost accountability system.   Annual Business Units charges of $75 million free of “background noise”.  Our defined year 2000 “corporate expenses” (salaries and overhead - excluding pass through and direct charges) track at or below mid year plan.  Our employee productivity is very strong.  Services we supply today are far and away at record levels yet we operate within a “corporate expense” cost structure 16% ($1.1 million) below ’99 funding authorizations.</w:t>
      </w:r>
    </w:p>
    <w:p>
      <w:pPr>
        <w:pStyle w:val="Normal"/>
        <w:jc w:val="both"/>
        <w:rPr>
          <w:sz w:val="22"/>
        </w:rPr>
      </w:pPr>
      <w:r>
        <w:rPr>
          <w:sz w:val="22"/>
        </w:rPr>
      </w:r>
    </w:p>
    <w:p>
      <w:pPr>
        <w:pStyle w:val="Normal"/>
        <w:numPr>
          <w:ilvl w:val="0"/>
          <w:numId w:val="4"/>
        </w:numPr>
        <w:jc w:val="both"/>
        <w:rPr>
          <w:sz w:val="22"/>
        </w:rPr>
      </w:pPr>
      <w:r>
        <w:rPr>
          <w:b/>
          <w:sz w:val="22"/>
        </w:rPr>
        <w:t>We effectively deal with tough challenges and ever increasing demands for service.  We now support over 10,000 Houston based office occupants under “fully loaded” conditions.  We resolved explosive space challenges between Business Units holding conflicting facility interests. We mitigated long-term risk exposure in our lease portfolio by executing short-term deals and internally pre-selling interim commitments.  We enhanced Business Unit productivity through large-scale space re-allocations and  solved critical proximity requirements.  Through mid year we completed work or have in progress over 350,000 sq. ft. of office renovations, representing 750 individual work orders and $13.5 million in upgrades.  With this dollar volume, supporting ongoing operations only – excluding Enron Center, we are among Houston’s top-ten commercial office design/build producers.  Enron’s capacity to churn, to relocate employees, is not constrained by our team’s abilities.  Data and phone connectivity now limits mobility to 500 per week and represents the majority of end user costs.  We churned over 5,000 to date this year and could handle more.</w:t>
      </w:r>
    </w:p>
    <w:p>
      <w:pPr>
        <w:pStyle w:val="Normal"/>
        <w:jc w:val="both"/>
        <w:rPr>
          <w:sz w:val="22"/>
        </w:rPr>
      </w:pPr>
      <w:r>
        <w:rPr>
          <w:sz w:val="22"/>
        </w:rPr>
      </w:r>
    </w:p>
    <w:p>
      <w:pPr>
        <w:pStyle w:val="Normal"/>
        <w:numPr>
          <w:ilvl w:val="0"/>
          <w:numId w:val="4"/>
        </w:numPr>
        <w:jc w:val="both"/>
        <w:rPr>
          <w:sz w:val="22"/>
        </w:rPr>
      </w:pPr>
      <w:r>
        <w:rPr>
          <w:b/>
          <w:sz w:val="22"/>
        </w:rPr>
        <w:t xml:space="preserve">We continually push innovation and best practices.  We are the recognized leader among our peers who manage the facility and administrative operations of Houston’s top corporations.  What Enron does, they copy.  When Enron talks, they listen.  We represent the standard for excellence in corporate aviation.  We are industry leaders in cost efficient utilization of our assets, mission effectiveness, and flight safety performance.  </w:t>
      </w:r>
    </w:p>
    <w:p>
      <w:pPr>
        <w:pStyle w:val="Normal"/>
        <w:jc w:val="both"/>
        <w:rPr>
          <w:b/>
          <w:sz w:val="22"/>
        </w:rPr>
      </w:pPr>
      <w:r>
        <w:rPr>
          <w:b/>
          <w:sz w:val="22"/>
        </w:rPr>
      </w:r>
    </w:p>
    <w:p>
      <w:pPr>
        <w:pStyle w:val="Normal"/>
        <w:numPr>
          <w:ilvl w:val="0"/>
          <w:numId w:val="4"/>
        </w:numPr>
        <w:jc w:val="both"/>
        <w:rPr>
          <w:sz w:val="22"/>
        </w:rPr>
      </w:pPr>
      <w:r>
        <w:rPr>
          <w:b/>
          <w:sz w:val="22"/>
        </w:rPr>
        <w:t>ECAS team members contribute time and effort to community and professional programs outside of our core business responsibilities.  We serve as directors, active members, or underwriting champions in support of organizations such as Central Houston, Houston Minority Business Council, Search, and Rice Design Alliance, or the MS 150.  We actively participate in various Enron work-life initiatives and have impacted Diversity Task Force strategies, originated new internal communication tools (BackWeb LAN Broadcasting, elevator cab monitors, Plaza video wall, etc.), developed SAP-HR employee tracking system, and offered frequent and substantial support to a majority of Enron Community Relations sponsored projects.</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r>
    </w:p>
    <w:p>
      <w:pPr>
        <w:pStyle w:val="Normal"/>
        <w:pBdr>
          <w:top w:val="single" w:sz="4" w:space="3" w:color="000000"/>
          <w:bottom w:val="single" w:sz="4" w:space="1" w:color="000000"/>
        </w:pBdr>
        <w:jc w:val="center"/>
        <w:rPr>
          <w:b/>
          <w:sz w:val="24"/>
        </w:rPr>
      </w:pPr>
      <w:r>
        <w:rPr>
          <w:b/>
          <w:sz w:val="24"/>
        </w:rPr>
        <w:t>Enron Corporate Administrative Services (ECAS)</w:t>
      </w:r>
    </w:p>
    <w:p>
      <w:pPr>
        <w:pStyle w:val="Normal"/>
        <w:jc w:val="center"/>
        <w:rPr>
          <w:b/>
          <w:sz w:val="24"/>
        </w:rPr>
      </w:pPr>
      <w:r>
        <w:rPr>
          <w:b/>
          <w:sz w:val="24"/>
        </w:rPr>
      </w:r>
    </w:p>
    <w:p>
      <w:pPr>
        <w:pStyle w:val="Heading1"/>
        <w:ind w:hanging="0" w:start="0"/>
        <w:rPr>
          <w:sz w:val="32"/>
        </w:rPr>
      </w:pPr>
      <w:r>
        <w:rPr>
          <w:sz w:val="32"/>
        </w:rPr>
        <w:t>Mid Year 2000 Accomplishments</w:t>
      </w:r>
    </w:p>
    <w:p>
      <w:pPr>
        <w:pStyle w:val="Normal"/>
        <w:rPr>
          <w:sz w:val="32"/>
        </w:rPr>
      </w:pPr>
      <w:r>
        <w:rPr>
          <w:sz w:val="32"/>
        </w:rPr>
      </w:r>
    </w:p>
    <w:p>
      <w:pPr>
        <w:pStyle w:val="Heading3"/>
        <w:ind w:hanging="0" w:start="0"/>
        <w:rPr/>
      </w:pPr>
      <w:r>
        <w:rPr/>
        <w:t>Specific Six Month Accomplishments</w:t>
      </w:r>
    </w:p>
    <w:p>
      <w:pPr>
        <w:pStyle w:val="Normal"/>
        <w:rPr>
          <w:b/>
          <w:sz w:val="22"/>
        </w:rPr>
      </w:pPr>
      <w:r>
        <w:rPr>
          <w:b/>
          <w:sz w:val="22"/>
        </w:rPr>
      </w:r>
    </w:p>
    <w:p>
      <w:pPr>
        <w:pStyle w:val="Heading4"/>
        <w:ind w:hanging="0" w:start="0"/>
        <w:rPr/>
      </w:pPr>
      <w:r>
        <w:rPr/>
        <w:t>Enron Center Project Management</w:t>
      </w:r>
    </w:p>
    <w:p>
      <w:pPr>
        <w:pStyle w:val="Normal"/>
        <w:rPr/>
      </w:pPr>
      <w:r>
        <w:rPr/>
      </w:r>
    </w:p>
    <w:p>
      <w:pPr>
        <w:pStyle w:val="Normal"/>
        <w:numPr>
          <w:ilvl w:val="0"/>
          <w:numId w:val="3"/>
        </w:numPr>
        <w:rPr>
          <w:b/>
          <w:sz w:val="22"/>
        </w:rPr>
      </w:pPr>
      <w:r>
        <w:rPr>
          <w:b/>
          <w:sz w:val="22"/>
        </w:rPr>
        <w:t>Awarded $175 mill. in fixed price construction contracts and remain squarely on track to reach our final $300 mill. project goal</w:t>
      </w:r>
    </w:p>
    <w:p>
      <w:pPr>
        <w:pStyle w:val="Normal"/>
        <w:numPr>
          <w:ilvl w:val="0"/>
          <w:numId w:val="3"/>
        </w:numPr>
        <w:rPr>
          <w:b/>
          <w:sz w:val="22"/>
        </w:rPr>
      </w:pPr>
      <w:r>
        <w:rPr>
          <w:b/>
          <w:sz w:val="22"/>
        </w:rPr>
        <w:t>Completed interior design documents on 350K sq. ft. on podium floors (cafeteria, trading, computer, and executive), went to bid, and will award $24 mill. of work in Aug. (within budget)</w:t>
      </w:r>
    </w:p>
    <w:p>
      <w:pPr>
        <w:pStyle w:val="Normal"/>
        <w:numPr>
          <w:ilvl w:val="0"/>
          <w:numId w:val="3"/>
        </w:numPr>
        <w:rPr>
          <w:b/>
          <w:sz w:val="22"/>
        </w:rPr>
      </w:pPr>
      <w:r>
        <w:rPr>
          <w:b/>
          <w:sz w:val="22"/>
        </w:rPr>
        <w:t>Documented MWBE spend to date at 24% with 28-30% goal attainable by project close</w:t>
      </w:r>
    </w:p>
    <w:p>
      <w:pPr>
        <w:pStyle w:val="Normal"/>
        <w:numPr>
          <w:ilvl w:val="0"/>
          <w:numId w:val="3"/>
        </w:numPr>
        <w:rPr>
          <w:b/>
          <w:sz w:val="22"/>
        </w:rPr>
      </w:pPr>
      <w:r>
        <w:rPr>
          <w:b/>
          <w:sz w:val="22"/>
        </w:rPr>
        <w:t>Implemented CCIP insurance package yielding $700K in savings</w:t>
      </w:r>
    </w:p>
    <w:p>
      <w:pPr>
        <w:pStyle w:val="Normal"/>
        <w:numPr>
          <w:ilvl w:val="0"/>
          <w:numId w:val="3"/>
        </w:numPr>
        <w:rPr>
          <w:b/>
          <w:sz w:val="22"/>
        </w:rPr>
      </w:pPr>
      <w:r>
        <w:rPr>
          <w:b/>
          <w:sz w:val="22"/>
        </w:rPr>
        <w:t>Continually push contractor/Hines on schedule issues and remain on target for summer ’01 trading floor occupancy</w:t>
      </w:r>
    </w:p>
    <w:p>
      <w:pPr>
        <w:pStyle w:val="Normal"/>
        <w:numPr>
          <w:ilvl w:val="0"/>
          <w:numId w:val="3"/>
        </w:numPr>
        <w:rPr>
          <w:b/>
          <w:sz w:val="22"/>
        </w:rPr>
      </w:pPr>
      <w:r>
        <w:rPr>
          <w:b/>
          <w:sz w:val="22"/>
        </w:rPr>
        <w:t xml:space="preserve">Incorporated employee feedback (Design Day in the Plaza, focus teams) into plans for common areas, i.e. food service, fitness center, employee “fun” area, convenience stores, etc. </w:t>
      </w:r>
    </w:p>
    <w:p>
      <w:pPr>
        <w:pStyle w:val="Normal"/>
        <w:numPr>
          <w:ilvl w:val="0"/>
          <w:numId w:val="3"/>
        </w:numPr>
        <w:rPr>
          <w:b/>
          <w:sz w:val="22"/>
        </w:rPr>
      </w:pPr>
      <w:r>
        <w:rPr>
          <w:b/>
          <w:sz w:val="22"/>
        </w:rPr>
        <w:t xml:space="preserve">Installed “live action camera” video feed over Enron’s LAN  </w:t>
      </w:r>
    </w:p>
    <w:p>
      <w:pPr>
        <w:pStyle w:val="Normal"/>
        <w:rPr>
          <w:b/>
          <w:sz w:val="22"/>
        </w:rPr>
      </w:pPr>
      <w:r>
        <w:rPr>
          <w:b/>
          <w:sz w:val="22"/>
        </w:rPr>
      </w:r>
    </w:p>
    <w:p>
      <w:pPr>
        <w:pStyle w:val="Heading4"/>
        <w:tabs>
          <w:tab w:val="clear" w:pos="720"/>
          <w:tab w:val="left" w:pos="420" w:leader="none"/>
        </w:tabs>
        <w:ind w:hanging="0" w:start="0"/>
        <w:rPr/>
      </w:pPr>
      <w:r>
        <w:rPr/>
        <w:t>Houston Based Project Development (designed, constructed, and churned)</w:t>
      </w:r>
    </w:p>
    <w:p>
      <w:pPr>
        <w:pStyle w:val="Normal"/>
        <w:rPr/>
      </w:pPr>
      <w:r>
        <w:rPr/>
      </w:r>
    </w:p>
    <w:p>
      <w:pPr>
        <w:pStyle w:val="Normal"/>
        <w:numPr>
          <w:ilvl w:val="0"/>
          <w:numId w:val="4"/>
        </w:numPr>
        <w:jc w:val="both"/>
        <w:rPr>
          <w:b/>
        </w:rPr>
      </w:pPr>
      <w:r>
        <w:rPr>
          <w:b/>
          <w:sz w:val="22"/>
        </w:rPr>
        <w:t xml:space="preserve">Completed or have in progress 22 full floor renovations, i.e. four floors for Global IT, four floors for EGEP/Tax/ECM, four floors of EES re-stack, five floors at 500 and 600 Jefferson for EES and Accounts Payable, two floors for ENA, two floors for Broadband, and one “swing” floor at 2AC </w:t>
      </w:r>
    </w:p>
    <w:p>
      <w:pPr>
        <w:pStyle w:val="Normal"/>
        <w:numPr>
          <w:ilvl w:val="0"/>
          <w:numId w:val="4"/>
        </w:numPr>
        <w:jc w:val="both"/>
        <w:rPr>
          <w:b/>
        </w:rPr>
      </w:pPr>
      <w:r>
        <w:rPr>
          <w:b/>
          <w:sz w:val="22"/>
        </w:rPr>
        <w:t>Opened 868 project work orders, completed 750 though June</w:t>
      </w:r>
    </w:p>
    <w:p>
      <w:pPr>
        <w:pStyle w:val="Normal"/>
        <w:numPr>
          <w:ilvl w:val="0"/>
          <w:numId w:val="4"/>
        </w:numPr>
        <w:jc w:val="both"/>
        <w:rPr>
          <w:b/>
        </w:rPr>
      </w:pPr>
      <w:r>
        <w:rPr>
          <w:b/>
          <w:sz w:val="22"/>
        </w:rPr>
        <w:t xml:space="preserve">Completed 28,800 phone/data connectivity transactions, including 5,000 full office relocations (annualized churn rates over 110%) </w:t>
      </w:r>
    </w:p>
    <w:p>
      <w:pPr>
        <w:pStyle w:val="Normal"/>
        <w:numPr>
          <w:ilvl w:val="0"/>
          <w:numId w:val="4"/>
        </w:numPr>
        <w:jc w:val="both"/>
        <w:rPr>
          <w:b/>
        </w:rPr>
      </w:pPr>
      <w:r>
        <w:rPr>
          <w:b/>
          <w:sz w:val="22"/>
        </w:rPr>
        <w:t>Completed $2.1 mill. of improvement to 60K sq. ft. of newly leased Shepherd warehouse space for Broadband</w:t>
      </w:r>
    </w:p>
    <w:p>
      <w:pPr>
        <w:pStyle w:val="Normal"/>
        <w:numPr>
          <w:ilvl w:val="0"/>
          <w:numId w:val="4"/>
        </w:numPr>
        <w:jc w:val="both"/>
        <w:rPr>
          <w:b/>
        </w:rPr>
      </w:pPr>
      <w:r>
        <w:rPr>
          <w:b/>
          <w:sz w:val="22"/>
        </w:rPr>
        <w:t>Upgraded Ardmore Computer Center backup power systems ($950K)</w:t>
      </w:r>
    </w:p>
    <w:p>
      <w:pPr>
        <w:pStyle w:val="Normal"/>
        <w:numPr>
          <w:ilvl w:val="0"/>
          <w:numId w:val="4"/>
        </w:numPr>
        <w:jc w:val="both"/>
        <w:rPr>
          <w:b/>
        </w:rPr>
      </w:pPr>
      <w:r>
        <w:rPr>
          <w:b/>
          <w:sz w:val="22"/>
        </w:rPr>
        <w:t>Completed design and out for bids on Body Shop expansion project</w:t>
      </w:r>
    </w:p>
    <w:p>
      <w:pPr>
        <w:pStyle w:val="Normal"/>
        <w:numPr>
          <w:ilvl w:val="0"/>
          <w:numId w:val="4"/>
        </w:numPr>
        <w:jc w:val="both"/>
        <w:rPr>
          <w:b/>
        </w:rPr>
      </w:pPr>
      <w:r>
        <w:rPr>
          <w:b/>
          <w:sz w:val="22"/>
        </w:rPr>
        <w:t>Purchased and installed 1,645 workstations and sets of office furniture ($7.5 mill.) and re-deployed 740 workstations, desk, etc. from attic stock</w:t>
      </w:r>
    </w:p>
    <w:p>
      <w:pPr>
        <w:pStyle w:val="Normal"/>
        <w:numPr>
          <w:ilvl w:val="0"/>
          <w:numId w:val="4"/>
        </w:numPr>
        <w:jc w:val="both"/>
        <w:rPr>
          <w:b/>
        </w:rPr>
      </w:pPr>
      <w:r>
        <w:rPr>
          <w:b/>
          <w:sz w:val="22"/>
        </w:rPr>
        <w:t>Mitigated significant financial risk by deferring construction of parking garage at Enron Field – while retaining positive relations with Astros</w:t>
      </w:r>
    </w:p>
    <w:p>
      <w:pPr>
        <w:pStyle w:val="Normal"/>
        <w:jc w:val="both"/>
        <w:rPr>
          <w:b/>
        </w:rPr>
      </w:pPr>
      <w:r>
        <w:rPr>
          <w:b/>
        </w:rPr>
      </w:r>
    </w:p>
    <w:p>
      <w:pPr>
        <w:pStyle w:val="Heading5"/>
        <w:ind w:hanging="0" w:start="0"/>
        <w:rPr/>
      </w:pPr>
      <w:r>
        <w:rPr/>
        <w:t>Real Estate and Remote Projects</w:t>
      </w:r>
    </w:p>
    <w:p>
      <w:pPr>
        <w:pStyle w:val="Normal"/>
        <w:rPr/>
      </w:pPr>
      <w:r>
        <w:rPr/>
      </w:r>
    </w:p>
    <w:p>
      <w:pPr>
        <w:pStyle w:val="Normal"/>
        <w:numPr>
          <w:ilvl w:val="0"/>
          <w:numId w:val="5"/>
        </w:numPr>
        <w:jc w:val="both"/>
        <w:rPr>
          <w:b/>
          <w:sz w:val="22"/>
        </w:rPr>
      </w:pPr>
      <w:r>
        <w:rPr>
          <w:b/>
          <w:sz w:val="22"/>
        </w:rPr>
        <w:t xml:space="preserve">Captured $592K of real estate commission income, returning net to Business Units  </w:t>
      </w:r>
    </w:p>
    <w:p>
      <w:pPr>
        <w:pStyle w:val="Normal"/>
        <w:numPr>
          <w:ilvl w:val="0"/>
          <w:numId w:val="5"/>
        </w:numPr>
        <w:jc w:val="both"/>
        <w:rPr>
          <w:b/>
          <w:sz w:val="22"/>
        </w:rPr>
      </w:pPr>
      <w:r>
        <w:rPr>
          <w:b/>
          <w:sz w:val="22"/>
        </w:rPr>
        <w:t>Leased 230K sq. ft. of telecomm space (POP centers) across USA for Broadband</w:t>
      </w:r>
    </w:p>
    <w:p>
      <w:pPr>
        <w:pStyle w:val="Normal"/>
        <w:numPr>
          <w:ilvl w:val="0"/>
          <w:numId w:val="4"/>
        </w:numPr>
        <w:jc w:val="both"/>
        <w:rPr>
          <w:b/>
        </w:rPr>
      </w:pPr>
      <w:r>
        <w:rPr>
          <w:b/>
          <w:sz w:val="22"/>
        </w:rPr>
        <w:t>Developed over 55,000 sq. ft. of office projects in WDC, NYC, Chicago, Denver, Hinsdale, and Tokyo</w:t>
      </w:r>
    </w:p>
    <w:p>
      <w:pPr>
        <w:pStyle w:val="Heading5"/>
        <w:ind w:hanging="0" w:start="0"/>
        <w:rPr/>
      </w:pPr>
      <w:r>
        <w:rPr/>
        <w:t>Administrative Services and Property Management</w:t>
      </w:r>
    </w:p>
    <w:p>
      <w:pPr>
        <w:pStyle w:val="Normal"/>
        <w:rPr/>
      </w:pPr>
      <w:r>
        <w:rPr/>
      </w:r>
    </w:p>
    <w:p>
      <w:pPr>
        <w:pStyle w:val="Normal"/>
        <w:numPr>
          <w:ilvl w:val="0"/>
          <w:numId w:val="2"/>
        </w:numPr>
        <w:jc w:val="both"/>
        <w:rPr>
          <w:b/>
        </w:rPr>
      </w:pPr>
      <w:r>
        <w:rPr>
          <w:b/>
          <w:sz w:val="24"/>
        </w:rPr>
        <w:t>Incorporated Enron’s Phone Operators into ECAS and in process of consolidating this function with our Facility Help Desk, cross training staff for improved efficiencies and job interest.</w:t>
      </w:r>
    </w:p>
    <w:p>
      <w:pPr>
        <w:pStyle w:val="Normal"/>
        <w:numPr>
          <w:ilvl w:val="0"/>
          <w:numId w:val="2"/>
        </w:numPr>
        <w:jc w:val="both"/>
        <w:rPr>
          <w:b/>
        </w:rPr>
      </w:pPr>
      <w:r>
        <w:rPr>
          <w:b/>
          <w:sz w:val="24"/>
        </w:rPr>
        <w:t>Dispatched 40,000 facility service tickets, including 6,500 for AV.</w:t>
      </w:r>
    </w:p>
    <w:p>
      <w:pPr>
        <w:pStyle w:val="Normal"/>
        <w:numPr>
          <w:ilvl w:val="0"/>
          <w:numId w:val="2"/>
        </w:numPr>
        <w:jc w:val="both"/>
        <w:rPr>
          <w:b/>
        </w:rPr>
      </w:pPr>
      <w:r>
        <w:rPr>
          <w:b/>
          <w:sz w:val="24"/>
        </w:rPr>
        <w:t>Introduced Enron’s Regions to our direct charge, cost accountability model of internal transfer costs.  They have since reduced rentable area and modified other controllable expenses.  We estimate potential savings of $1.5 mill. over last year charges.</w:t>
      </w:r>
    </w:p>
    <w:p>
      <w:pPr>
        <w:pStyle w:val="Normal"/>
        <w:numPr>
          <w:ilvl w:val="0"/>
          <w:numId w:val="2"/>
        </w:numPr>
        <w:jc w:val="both"/>
        <w:rPr>
          <w:b/>
        </w:rPr>
      </w:pPr>
      <w:r>
        <w:rPr>
          <w:b/>
          <w:sz w:val="24"/>
        </w:rPr>
        <w:t>Worked with Enron Tax to lower HCAD valuation of EB, saving  $653K</w:t>
      </w:r>
    </w:p>
    <w:p>
      <w:pPr>
        <w:pStyle w:val="Normal"/>
        <w:numPr>
          <w:ilvl w:val="0"/>
          <w:numId w:val="2"/>
        </w:numPr>
        <w:jc w:val="both"/>
        <w:rPr>
          <w:b/>
        </w:rPr>
      </w:pPr>
      <w:r>
        <w:rPr>
          <w:b/>
          <w:sz w:val="24"/>
        </w:rPr>
        <w:t>Installed infrastructure for Enron’s ETV system, a Plaza video wall, 42 flat screen monitors in elevator cabs, and 20 TV’s in 3AC elevator lobbies.  Project was very demanding technically and driven by aggressive budget and schedule constraints.</w:t>
      </w:r>
    </w:p>
    <w:p>
      <w:pPr>
        <w:pStyle w:val="Normal"/>
        <w:numPr>
          <w:ilvl w:val="0"/>
          <w:numId w:val="2"/>
        </w:numPr>
        <w:jc w:val="both"/>
        <w:rPr>
          <w:b/>
        </w:rPr>
      </w:pPr>
      <w:r>
        <w:rPr>
          <w:b/>
          <w:sz w:val="24"/>
        </w:rPr>
        <w:t>Innovated efficiencies into our MailRoom and Copy Center operations by consolidating functions into the same physical area, under single outsourcer.  Staff productivity increases through multi-tasking and demand leveling.</w:t>
      </w:r>
    </w:p>
    <w:p>
      <w:pPr>
        <w:pStyle w:val="Normal"/>
        <w:numPr>
          <w:ilvl w:val="0"/>
          <w:numId w:val="2"/>
        </w:numPr>
        <w:jc w:val="both"/>
        <w:rPr>
          <w:b/>
        </w:rPr>
      </w:pPr>
      <w:r>
        <w:rPr>
          <w:b/>
          <w:sz w:val="24"/>
        </w:rPr>
        <w:t>Centralizing shipping and receiving, express mail, and supplies/package delivery systems within Enron Building.  Single outsourcer will consolidate all incoming materials from new basement location for delivery to end-user, improving timeliness and accuracy plus enhancing security (eliminates multiple 3</w:t>
      </w:r>
      <w:r>
        <w:rPr>
          <w:b/>
          <w:sz w:val="24"/>
          <w:vertAlign w:val="superscript"/>
        </w:rPr>
        <w:t>rd</w:t>
      </w:r>
      <w:r>
        <w:rPr>
          <w:b/>
          <w:sz w:val="24"/>
        </w:rPr>
        <w:t xml:space="preserve"> parties accessing Enron Building floors).</w:t>
      </w:r>
    </w:p>
    <w:p>
      <w:pPr>
        <w:pStyle w:val="Normal"/>
        <w:numPr>
          <w:ilvl w:val="0"/>
          <w:numId w:val="2"/>
        </w:numPr>
        <w:jc w:val="both"/>
        <w:rPr>
          <w:b/>
        </w:rPr>
      </w:pPr>
      <w:r>
        <w:rPr>
          <w:b/>
          <w:sz w:val="24"/>
        </w:rPr>
        <w:t>Pushed Food Service contractor to experiment with locally branded products on the servery (ex. Fusion Café).  Re-inventing 2</w:t>
      </w:r>
      <w:r>
        <w:rPr>
          <w:b/>
          <w:sz w:val="24"/>
          <w:vertAlign w:val="superscript"/>
        </w:rPr>
        <w:t>nd</w:t>
      </w:r>
      <w:r>
        <w:rPr>
          <w:b/>
          <w:sz w:val="24"/>
        </w:rPr>
        <w:t xml:space="preserve"> floor convenience store by re-naming it “Endless Possibilities” and incorporating Enron’s “Signature Store” line of products.</w:t>
      </w:r>
    </w:p>
    <w:p>
      <w:pPr>
        <w:pStyle w:val="Normal"/>
        <w:numPr>
          <w:ilvl w:val="0"/>
          <w:numId w:val="2"/>
        </w:numPr>
        <w:jc w:val="both"/>
        <w:rPr>
          <w:b/>
        </w:rPr>
      </w:pPr>
      <w:r>
        <w:rPr>
          <w:b/>
          <w:sz w:val="24"/>
        </w:rPr>
        <w:t xml:space="preserve">Completed $750K of office renovation work at Omaha’s TPP facility.  Developed detailed review of cost saving opportunities (workplace density paybacks and facility operating changes) and presented to ETS and Plains senior management. </w:t>
      </w:r>
    </w:p>
    <w:p>
      <w:pPr>
        <w:pStyle w:val="Normal"/>
        <w:jc w:val="both"/>
        <w:rPr>
          <w:b/>
        </w:rPr>
      </w:pPr>
      <w:r>
        <w:rPr>
          <w:b/>
        </w:rPr>
      </w:r>
    </w:p>
    <w:p>
      <w:pPr>
        <w:pStyle w:val="Heading5"/>
        <w:ind w:hanging="0" w:start="0"/>
        <w:rPr/>
      </w:pPr>
      <w:r>
        <w:rPr/>
        <w:t>Corporate Aviation and Security</w:t>
      </w:r>
    </w:p>
    <w:p>
      <w:pPr>
        <w:pStyle w:val="Normal"/>
        <w:rPr/>
      </w:pPr>
      <w:r>
        <w:rPr/>
      </w:r>
    </w:p>
    <w:p>
      <w:pPr>
        <w:pStyle w:val="Normal"/>
        <w:numPr>
          <w:ilvl w:val="0"/>
          <w:numId w:val="2"/>
        </w:numPr>
        <w:jc w:val="both"/>
        <w:rPr>
          <w:b/>
        </w:rPr>
      </w:pPr>
      <w:r>
        <w:rPr>
          <w:b/>
          <w:sz w:val="24"/>
        </w:rPr>
        <w:t>Negotiated sale of Falcon 50, fully recovering original investment price after nine years of use.  Accepted two Hawker 800’s at accelerated deliveries dates while enjoying interim use of a loaner aircraft, representing $450K value.</w:t>
      </w:r>
    </w:p>
    <w:p>
      <w:pPr>
        <w:pStyle w:val="Normal"/>
        <w:numPr>
          <w:ilvl w:val="0"/>
          <w:numId w:val="2"/>
        </w:numPr>
        <w:jc w:val="both"/>
        <w:rPr>
          <w:b/>
        </w:rPr>
      </w:pPr>
      <w:r>
        <w:rPr>
          <w:b/>
          <w:sz w:val="24"/>
        </w:rPr>
        <w:t xml:space="preserve">Negotiated contract for purchase of Gulfstream V, reaching final discounted price $3.1 mill. below initial offer.  </w:t>
      </w:r>
    </w:p>
    <w:p>
      <w:pPr>
        <w:pStyle w:val="Normal"/>
        <w:numPr>
          <w:ilvl w:val="0"/>
          <w:numId w:val="2"/>
        </w:numPr>
        <w:jc w:val="both"/>
        <w:rPr>
          <w:b/>
        </w:rPr>
      </w:pPr>
      <w:r>
        <w:rPr>
          <w:b/>
          <w:sz w:val="24"/>
        </w:rPr>
        <w:t>Developed low cost solution to deficient hanger space by acquiring Williams facility at 30% below asking price.</w:t>
      </w:r>
    </w:p>
    <w:p>
      <w:pPr>
        <w:pStyle w:val="Normal"/>
        <w:numPr>
          <w:ilvl w:val="0"/>
          <w:numId w:val="2"/>
        </w:numPr>
        <w:jc w:val="both"/>
        <w:rPr>
          <w:b/>
        </w:rPr>
      </w:pPr>
      <w:r>
        <w:rPr>
          <w:b/>
          <w:sz w:val="24"/>
        </w:rPr>
        <w:t>Completed 934 trips through June and continue to maintain reliability rates over 99%</w:t>
      </w:r>
    </w:p>
    <w:p>
      <w:pPr>
        <w:pStyle w:val="Normal"/>
        <w:numPr>
          <w:ilvl w:val="0"/>
          <w:numId w:val="2"/>
        </w:numPr>
        <w:jc w:val="both"/>
        <w:rPr>
          <w:b/>
        </w:rPr>
      </w:pPr>
      <w:r>
        <w:rPr>
          <w:b/>
          <w:sz w:val="24"/>
        </w:rPr>
        <w:t xml:space="preserve">Corporate Security facilitates monthly coordination forum involving respective counterparts from each Business Unit.  Our site assessment work takes us to South America, Asia, the Middle East, and Europe.  Our office represents Enron on the President’s Commission on Critical Infrastructure Protection.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jc w:val="both"/>
      <w:outlineLvl w:val="4"/>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2000-07-21T18:50:00Z</dcterms:created>
  <dc:creator>bdonova</dc:creator>
  <dc:description/>
  <dc:language>en-CA</dc:language>
  <cp:lastModifiedBy>Nina M. Garcia</cp:lastModifiedBy>
  <cp:lastPrinted>2000-07-21T13:51:00Z</cp:lastPrinted>
  <dcterms:modified xsi:type="dcterms:W3CDTF">2000-07-21T18:50:00Z</dcterms:modified>
  <cp:revision>2</cp:revision>
  <dc:subject/>
  <dc:title>Enron Corporate Administrative Services (ECAS)</dc:title>
</cp:coreProperties>
</file>