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672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67230"/>
                        </a:xfrm>
                        <a:prstGeom prst="rect"/>
                        <a:solidFill>
                          <a:srgbClr val="FFFFFF">
                            <a:alpha val="0"/>
                          </a:srgbClr>
                        </a:solidFill>
                      </wps:spPr>
                      <wps:txbx>
                        <w:txbxContent>
                          <w:p>
                            <w:pPr>
                              <w:pStyle w:val="Normal"/>
                              <w:widowControl/>
                              <w:bidi w:val="0"/>
                              <w:spacing w:before="60" w:after="60"/>
                              <w:rPr/>
                            </w:pPr>
                            <w:r>
                              <w:rPr/>
                              <w:drawing>
                                <wp:inline distT="0" distB="0" distL="0" distR="0">
                                  <wp:extent cx="1500505" cy="14909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2" t="-12" r="-12" b="-12"/>
                                          <a:stretch>
                                            <a:fillRect/>
                                          </a:stretch>
                                        </pic:blipFill>
                                        <pic:spPr bwMode="auto">
                                          <a:xfrm>
                                            <a:off x="0" y="0"/>
                                            <a:ext cx="1500505" cy="1490980"/>
                                          </a:xfrm>
                                          <a:prstGeom prst="rect">
                                            <a:avLst/>
                                          </a:prstGeom>
                                          <a:noFill/>
                                        </pic:spPr>
                                      </pic:pic>
                                    </a:graphicData>
                                  </a:graphic>
                                </wp:inline>
                              </w:drawing>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4.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drawing>
                          <wp:inline distT="0" distB="0" distL="0" distR="0">
                            <wp:extent cx="1500505" cy="14909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2" t="-12" r="-12" b="-12"/>
                                    <a:stretch>
                                      <a:fillRect/>
                                    </a:stretch>
                                  </pic:blipFill>
                                  <pic:spPr bwMode="auto">
                                    <a:xfrm>
                                      <a:off x="0" y="0"/>
                                      <a:ext cx="1500505" cy="1490980"/>
                                    </a:xfrm>
                                    <a:prstGeom prst="rect">
                                      <a:avLst/>
                                    </a:prstGeom>
                                    <a:noFill/>
                                  </pic:spPr>
                                </pic:pic>
                              </a:graphicData>
                            </a:graphic>
                          </wp:inline>
                        </w:drawing>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Mark Schroeder, Steve Kean</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Mike Dahlke</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January 3, 2001</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tSubject"/>
            <w:bookmarkStart w:id="3" w:name="Subject"/>
            <w:bookmarkEnd w:id="2"/>
            <w:bookmarkEnd w:id="3"/>
            <w:r>
              <w:rPr>
                <w:rFonts w:cs="Arial" w:ascii="Arial" w:hAnsi="Arial"/>
              </w:rPr>
              <w:t>Asia Governmental/Regulatory Accomplishments for 2000 Regulatory</w:t>
            </w:r>
          </w:p>
        </w:tc>
      </w:tr>
    </w:tbl>
    <w:p>
      <w:pPr>
        <w:pStyle w:val="Heading5"/>
        <w:ind w:hanging="0" w:start="0"/>
        <w:rPr>
          <w:rFonts w:ascii="Arial" w:hAnsi="Arial" w:cs="Arial"/>
        </w:rPr>
      </w:pPr>
      <w:bookmarkStart w:id="4" w:name="StartOfMemo"/>
      <w:bookmarkEnd w:id="4"/>
      <w:r>
        <w:rPr>
          <w:rFonts w:cs="Arial" w:ascii="Arial" w:hAnsi="Arial"/>
        </w:rPr>
        <w:t>Korea</w:t>
      </w:r>
    </w:p>
    <w:p>
      <w:pPr>
        <w:pStyle w:val="Normal"/>
        <w:rPr/>
      </w:pPr>
      <w:r>
        <w:rPr>
          <w:rFonts w:cs="Arial" w:ascii="Arial" w:hAnsi="Arial"/>
        </w:rPr>
        <w:t>The principal focus of activity during the past year was the Republic of Korea where Enron Global Assets’ (“EGA”) joint venture gas distribution company, SK- Enron (“SK-E”) is located, with a capitalization of about US$ 400 million.</w:t>
      </w:r>
      <w:r>
        <w:rPr/>
        <w:t xml:space="preserve"> </w:t>
      </w:r>
    </w:p>
    <w:p>
      <w:pPr>
        <w:pStyle w:val="Heading4"/>
        <w:ind w:hanging="0" w:start="0"/>
        <w:rPr/>
      </w:pPr>
      <w:r>
        <w:rPr/>
        <w:t>Lifting of the current 10% Dividend restriction</w:t>
      </w:r>
    </w:p>
    <w:p>
      <w:pPr>
        <w:pStyle w:val="Normal"/>
        <w:rPr>
          <w:rFonts w:ascii="Arial" w:hAnsi="Arial" w:cs="Arial"/>
        </w:rPr>
      </w:pPr>
      <w:r>
        <w:rPr>
          <w:rFonts w:cs="Arial" w:ascii="Arial" w:hAnsi="Arial"/>
        </w:rPr>
        <w:t>Effective movement of the cash generated by each of SK-E’s City Gas Companies (“CGCs”) has been hampered by a 1993 Ministry of Industry, Commerce, and Energy (“MOCIE”) rule that limited CGC dividends to an annual amount equal to 10% of a company’s paid-in capital.  As a result of lobbying the Ministry, this limitation was eliminated for any CGC with a debt-to-total-capital ratio less than 66%.</w:t>
      </w:r>
    </w:p>
    <w:p>
      <w:pPr>
        <w:pStyle w:val="Normal"/>
        <w:rPr>
          <w:rFonts w:ascii="Arial" w:hAnsi="Arial" w:cs="Arial"/>
        </w:rPr>
      </w:pPr>
      <w:r>
        <w:rPr>
          <w:rFonts w:cs="Arial" w:ascii="Arial" w:hAnsi="Arial"/>
        </w:rPr>
        <w:t xml:space="preserve">It is expected that 7 of SK-E’s 9 CGCs will be qualified to pay “unlimited” dividends based on the new MOCIE rule.  These companies hold 99% of the “dividendable” cash.  Enron, through the JV board, intends to seek dividend payments totaling US$ 27.5 million during 2001 as compared to US$ 4.6 million received from these companies in 2000.  If the incremental funds were used to pay down the JV’s debt, overall net income for this year would be increased by about US$ 1 million.  </w:t>
      </w:r>
    </w:p>
    <w:p>
      <w:pPr>
        <w:pStyle w:val="Heading4"/>
        <w:ind w:hanging="0" w:start="0"/>
        <w:rPr/>
      </w:pPr>
      <w:r>
        <w:rPr/>
        <w:t>Maintaining (or increasing) the “allowed rate of return” set by MOCIE</w:t>
      </w:r>
    </w:p>
    <w:p>
      <w:pPr>
        <w:pStyle w:val="Normal"/>
        <w:rPr>
          <w:rFonts w:ascii="Arial" w:hAnsi="Arial" w:cs="Arial"/>
        </w:rPr>
      </w:pPr>
      <w:r>
        <w:rPr>
          <w:rFonts w:cs="Arial" w:ascii="Arial" w:hAnsi="Arial"/>
        </w:rPr>
        <w:t>Since 1993, retail gas rates (known as “Supply Cost”) have been based, in part on an after-tax Return on Equity (“ROE”) equal to 10%.  In the summer of last year, MOCIE commissioned a study of certain Supply Cost matters.  While ROE was not in the publicly disclosed scope of MOCIE’s review, it was learned in August that it intended to deal with this issue.  Preliminary information indicated the Ministry would recommendation that the ROE be set at the one-year bank deposit rate, which is about 8%.  No “premium” was to be added to this base rate despite the obvious differences between holding a bank deposit and owning a gas distribution company.</w:t>
      </w:r>
    </w:p>
    <w:p>
      <w:pPr>
        <w:pStyle w:val="Normal"/>
        <w:rPr/>
      </w:pPr>
      <w:r>
        <w:rPr>
          <w:rFonts w:cs="Arial" w:ascii="Arial" w:hAnsi="Arial"/>
        </w:rPr>
        <w:t xml:space="preserve">Prior to the disclosure of MOCIE’s interest in ROE, Enron and SK-E had initiated its own study of this and other CGC rate matters.  Using the results of that analysis, an intensive lobbying campaign was initiated.  This effort included convincing all the Korean CGCs to </w:t>
      </w:r>
      <w:r>
        <w:rPr>
          <w:rFonts w:cs="Arial" w:ascii="Arial" w:hAnsi="Arial"/>
          <w:u w:val="single"/>
        </w:rPr>
        <w:t>formally</w:t>
      </w:r>
      <w:r>
        <w:rPr>
          <w:rFonts w:cs="Arial" w:ascii="Arial" w:hAnsi="Arial"/>
        </w:rPr>
        <w:t xml:space="preserve"> oppose the Ministry’s recommendation – a very rare action by any group.  Additionally, EGA’s chairman wrote the MOCIE Minister personally and the Investment Ombudsman for the Korean government was convinced to intervene with the Ministry.</w:t>
      </w:r>
    </w:p>
    <w:p>
      <w:pPr>
        <w:pStyle w:val="Normal"/>
        <w:rPr/>
      </w:pPr>
      <w:r>
        <w:rPr>
          <w:rFonts w:cs="Arial" w:ascii="Arial" w:hAnsi="Arial"/>
        </w:rPr>
        <w:t>In its November 27</w:t>
      </w:r>
      <w:r>
        <w:rPr>
          <w:rFonts w:cs="Arial" w:ascii="Arial" w:hAnsi="Arial"/>
          <w:vertAlign w:val="superscript"/>
        </w:rPr>
        <w:t>th</w:t>
      </w:r>
      <w:r>
        <w:rPr>
          <w:rFonts w:cs="Arial" w:ascii="Arial" w:hAnsi="Arial"/>
        </w:rPr>
        <w:t xml:space="preserve"> Order on CGC rate matters, including ROE, MOCIE</w:t>
      </w:r>
      <w:r>
        <w:rPr>
          <w:rFonts w:cs="Arial" w:ascii="Arial" w:hAnsi="Arial"/>
          <w:color w:val="000000"/>
        </w:rPr>
        <w:t xml:space="preserve"> specified that Seoul area CGCs, including SK-E’s Daehan Gas, will be subject to a "base" ROE, which is the "1-to-2-year bank rate".  However, outside Seoul, CGCs </w:t>
      </w:r>
      <w:r>
        <w:rPr>
          <w:rFonts w:cs="Arial" w:ascii="Arial" w:hAnsi="Arial"/>
          <w:color w:val="000000"/>
          <w:u w:val="single"/>
        </w:rPr>
        <w:t>will receive a 200 basis point premium</w:t>
      </w:r>
      <w:r>
        <w:rPr>
          <w:rFonts w:cs="Arial" w:ascii="Arial" w:hAnsi="Arial"/>
          <w:color w:val="000000"/>
        </w:rPr>
        <w:t xml:space="preserve"> over the base rate if its "penetration rate" is below the national average.  SK-Enron's analysis shows that all of its CGCs (except Daehan) qualify for the premium.  The Finance group has calculated that “winning” this premium will mean </w:t>
      </w:r>
      <w:r>
        <w:rPr>
          <w:rFonts w:cs="Arial" w:ascii="Arial" w:hAnsi="Arial"/>
          <w:color w:val="000000"/>
          <w:u w:val="single"/>
        </w:rPr>
        <w:t>US$ 1.3 million more after-tax income</w:t>
      </w:r>
      <w:r>
        <w:rPr>
          <w:rFonts w:cs="Arial" w:ascii="Arial" w:hAnsi="Arial"/>
          <w:color w:val="000000"/>
        </w:rPr>
        <w:t xml:space="preserve"> versus the expected earnings if all CGCs were subject to the "base" rate only.</w:t>
      </w:r>
      <w:r>
        <w:rPr>
          <w:rFonts w:cs="Arial" w:ascii="Arial" w:hAnsi="Arial"/>
        </w:rPr>
        <w:t xml:space="preserve"> </w:t>
      </w:r>
    </w:p>
    <w:p>
      <w:pPr>
        <w:pStyle w:val="Heading4"/>
        <w:ind w:hanging="0" w:start="0"/>
        <w:rPr>
          <w:rFonts w:ascii="Arial" w:hAnsi="Arial" w:cs="Arial"/>
          <w:iCs/>
        </w:rPr>
      </w:pPr>
      <w:r>
        <w:rPr>
          <w:rFonts w:cs="Arial"/>
          <w:iCs/>
        </w:rPr>
      </w:r>
    </w:p>
    <w:p>
      <w:pPr>
        <w:pStyle w:val="Heading4"/>
        <w:ind w:hanging="0" w:start="0"/>
        <w:rPr>
          <w:rFonts w:cs="Arial"/>
          <w:iCs/>
        </w:rPr>
      </w:pPr>
      <w:r>
        <w:rPr>
          <w:rFonts w:cs="Arial"/>
          <w:iCs/>
        </w:rPr>
        <w:t>Rates Education - KEEI</w:t>
      </w:r>
    </w:p>
    <w:p>
      <w:pPr>
        <w:pStyle w:val="Header"/>
        <w:tabs>
          <w:tab w:val="clear" w:pos="4320"/>
          <w:tab w:val="clear" w:pos="8640"/>
          <w:tab w:val="clear" w:pos="9000"/>
        </w:tabs>
        <w:spacing w:before="60" w:after="60"/>
        <w:rPr>
          <w:rFonts w:ascii="Arial" w:hAnsi="Arial" w:cs="Arial"/>
        </w:rPr>
      </w:pPr>
      <w:r>
        <w:rPr>
          <w:rFonts w:cs="Arial" w:ascii="Arial" w:hAnsi="Arial"/>
        </w:rPr>
        <w:t>In an effort to shape the framework for setting transmission pipelines rates, a one-week program held in Houston by Enron personnel was developed for a delegation headed by the Korea Energy Economics Institute.  The instruction covered ratemaking principles, alternative rate methodologies, regulatory procedures and contemporary pipeline issues.  KEEI’s mission was to make recommendations to MOCIE and Korea Gas Company regarding a framework to be used as part of the planned gas industry restructuring, which is still pending approval by the National Assembly.  An important by-product of Enron’s effort was a close working relationship with KEEI that proved valuable as a source of information and insight regarding dividend limitation rules, ROE, and other CGC rate matters.</w:t>
      </w:r>
    </w:p>
    <w:p>
      <w:pPr>
        <w:pStyle w:val="Header"/>
        <w:tabs>
          <w:tab w:val="clear" w:pos="4320"/>
          <w:tab w:val="clear" w:pos="8640"/>
          <w:tab w:val="clear" w:pos="9000"/>
        </w:tabs>
        <w:spacing w:before="60" w:after="60"/>
        <w:rPr>
          <w:rFonts w:ascii="Arial" w:hAnsi="Arial" w:cs="Arial"/>
          <w:i/>
          <w:i/>
          <w:u w:val="single"/>
        </w:rPr>
      </w:pPr>
      <w:r>
        <w:rPr>
          <w:rFonts w:cs="Arial" w:ascii="Arial" w:hAnsi="Arial"/>
          <w:i/>
          <w:u w:val="single"/>
        </w:rPr>
        <w:t>Rates Education – SK-Enron</w:t>
      </w:r>
    </w:p>
    <w:p>
      <w:pPr>
        <w:pStyle w:val="Header"/>
        <w:tabs>
          <w:tab w:val="clear" w:pos="4320"/>
          <w:tab w:val="clear" w:pos="8640"/>
          <w:tab w:val="clear" w:pos="9000"/>
        </w:tabs>
        <w:spacing w:before="60" w:after="60"/>
        <w:rPr>
          <w:rFonts w:ascii="Arial" w:hAnsi="Arial" w:cs="Arial"/>
          <w:iCs/>
        </w:rPr>
      </w:pPr>
      <w:r>
        <w:rPr>
          <w:rFonts w:cs="Arial" w:ascii="Arial" w:hAnsi="Arial"/>
          <w:iCs/>
        </w:rPr>
        <w:t xml:space="preserve">After a detailed analysis of the Korea’s current supply cost (rate) regulations, a workshop was presented to SK-E executives and senior CGC operational and financial officers as well as managers directly involved in rate filings.  The program identified potential opportunities to “gain” under the existing rules, highlighted the importance of rate setting by class of customer, and outlined possible benefits from adopting a performance based rate (PBR) model in Korea.  Due to the MOCIE study of CGC rate matters noted above, rate filings were suspended (or decisions on existing rate filings postponed) pending issuance of the new rules.  This created a backlog that SK-E faces in 2001 when filings are expected to be required from 5 of its 9 operating companies.  The revised rules also call for certain cost allocations – an issue that was highlighted in Enron’s rate education. </w:t>
      </w:r>
    </w:p>
    <w:p>
      <w:pPr>
        <w:pStyle w:val="Header"/>
        <w:tabs>
          <w:tab w:val="clear" w:pos="4320"/>
          <w:tab w:val="clear" w:pos="8640"/>
          <w:tab w:val="clear" w:pos="9000"/>
        </w:tabs>
        <w:spacing w:before="60" w:after="60"/>
        <w:rPr>
          <w:rFonts w:ascii="Arial" w:hAnsi="Arial" w:cs="Arial"/>
          <w:i/>
          <w:i/>
          <w:u w:val="single"/>
        </w:rPr>
      </w:pPr>
      <w:r>
        <w:rPr>
          <w:rFonts w:cs="Arial" w:ascii="Arial" w:hAnsi="Arial"/>
          <w:i/>
          <w:u w:val="single"/>
        </w:rPr>
        <w:t>EOL and EBS Due Diligence</w:t>
      </w:r>
    </w:p>
    <w:p>
      <w:pPr>
        <w:pStyle w:val="Header"/>
        <w:tabs>
          <w:tab w:val="clear" w:pos="4320"/>
          <w:tab w:val="clear" w:pos="8640"/>
          <w:tab w:val="clear" w:pos="9000"/>
        </w:tabs>
        <w:spacing w:before="60" w:after="60"/>
        <w:rPr>
          <w:rFonts w:ascii="Arial" w:hAnsi="Arial" w:cs="Arial"/>
          <w:iCs/>
        </w:rPr>
      </w:pPr>
      <w:r>
        <w:rPr>
          <w:rFonts w:cs="Arial" w:ascii="Arial" w:hAnsi="Arial"/>
          <w:iCs/>
        </w:rPr>
        <w:t>A complete review the regulatory requirements for “launching” EnronOnline as a product in Korea was completed and a recommended approach for start-up was developed.  Implementation was postponed pending the addition of nonferrous metal commodities to the EOL portfolio.</w:t>
      </w:r>
    </w:p>
    <w:p>
      <w:pPr>
        <w:pStyle w:val="Header"/>
        <w:tabs>
          <w:tab w:val="clear" w:pos="4320"/>
          <w:tab w:val="clear" w:pos="8640"/>
          <w:tab w:val="clear" w:pos="9000"/>
        </w:tabs>
        <w:spacing w:before="60" w:after="60"/>
        <w:rPr>
          <w:rFonts w:ascii="Arial" w:hAnsi="Arial" w:cs="Arial"/>
          <w:iCs/>
        </w:rPr>
      </w:pPr>
      <w:r>
        <w:rPr>
          <w:rFonts w:cs="Arial" w:ascii="Arial" w:hAnsi="Arial"/>
          <w:iCs/>
        </w:rPr>
        <w:t xml:space="preserve">Late last year, an initial due diligence review was performed in conjunction with Enron Broadband Services’ interest in establishing a presence in Korea.  One significant issue related to bandwidth trading was identified.  </w:t>
      </w:r>
    </w:p>
    <w:p>
      <w:pPr>
        <w:pStyle w:val="Header"/>
        <w:tabs>
          <w:tab w:val="clear" w:pos="4320"/>
          <w:tab w:val="clear" w:pos="8640"/>
          <w:tab w:val="clear" w:pos="9000"/>
        </w:tabs>
        <w:spacing w:before="60" w:after="60"/>
        <w:rPr>
          <w:rFonts w:ascii="Arial" w:hAnsi="Arial" w:cs="Arial"/>
          <w:iCs/>
        </w:rPr>
      </w:pPr>
      <w:r>
        <w:rPr>
          <w:rFonts w:cs="Arial" w:ascii="Arial" w:hAnsi="Arial"/>
          <w:iCs/>
        </w:rPr>
      </w:r>
    </w:p>
    <w:p>
      <w:pPr>
        <w:pStyle w:val="Header"/>
        <w:tabs>
          <w:tab w:val="clear" w:pos="4320"/>
          <w:tab w:val="clear" w:pos="8640"/>
          <w:tab w:val="clear" w:pos="9000"/>
        </w:tabs>
        <w:spacing w:before="60" w:after="60"/>
        <w:rPr>
          <w:rFonts w:ascii="Arial" w:hAnsi="Arial" w:cs="Arial"/>
          <w:b/>
          <w:bCs/>
          <w:iCs/>
          <w:sz w:val="22"/>
          <w:u w:val="single"/>
        </w:rPr>
      </w:pPr>
      <w:r>
        <w:rPr>
          <w:rFonts w:cs="Arial" w:ascii="Arial" w:hAnsi="Arial"/>
          <w:b/>
          <w:bCs/>
          <w:sz w:val="22"/>
          <w:u w:val="single"/>
        </w:rPr>
        <w:t>Japan</w:t>
      </w:r>
    </w:p>
    <w:p>
      <w:pPr>
        <w:pStyle w:val="Header"/>
        <w:tabs>
          <w:tab w:val="clear" w:pos="4320"/>
          <w:tab w:val="clear" w:pos="8640"/>
          <w:tab w:val="clear" w:pos="9000"/>
        </w:tabs>
        <w:spacing w:before="60" w:after="60"/>
        <w:rPr>
          <w:rFonts w:ascii="Arial" w:hAnsi="Arial" w:cs="Arial"/>
        </w:rPr>
      </w:pPr>
      <w:r>
        <w:rPr>
          <w:rFonts w:cs="Arial" w:ascii="Arial" w:hAnsi="Arial"/>
        </w:rPr>
        <w:t>Presentations on U.S. gas and electric industry restructuring were made to key MITI official involved in these processes locally.  Abbreviated versions of these presentations were made to at least six other delegations representing electric and gas utilities as well as various research institutes.</w:t>
      </w:r>
    </w:p>
    <w:sectPr>
      <w:headerReference w:type="default" r:id="rId4"/>
      <w:headerReference w:type="first" r:id="rId5"/>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rFonts w:ascii="Arial" w:hAnsi="Arial" w:cs="Arial"/>
      <w:i/>
      <w:u w:val="single"/>
    </w:rPr>
  </w:style>
  <w:style w:type="paragraph" w:styleId="Heading5">
    <w:name w:val="heading 5"/>
    <w:basedOn w:val="Normal"/>
    <w:next w:val="Normal"/>
    <w:qFormat/>
    <w:pPr>
      <w:keepNext w:val="true"/>
      <w:numPr>
        <w:ilvl w:val="4"/>
        <w:numId w:val="1"/>
      </w:numPr>
      <w:outlineLvl w:val="4"/>
    </w:pPr>
    <w:rPr>
      <w:b/>
      <w:bCs/>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next w:val="Normal"/>
    <w:qFormat/>
    <w:pPr>
      <w:jc w:val="center"/>
    </w:pPr>
    <w:rPr>
      <w:rFonts w:ascii="Arial" w:hAnsi="Arial" w:cs="Arial"/>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EIMEMO.DOT</Template>
  <TotalTime>427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2001-01-03T13:39:00Z</dcterms:created>
  <dc:creator>Madeline Chan</dc:creator>
  <dc:description/>
  <dc:language>en-CA</dc:language>
  <cp:lastModifiedBy>mdahlke</cp:lastModifiedBy>
  <cp:lastPrinted>2001-01-03T17:18:00Z</cp:lastPrinted>
  <dcterms:modified xsi:type="dcterms:W3CDTF">2001-01-03T20:57:00Z</dcterms:modified>
  <cp:revision>31</cp:revision>
  <dc:subject>EOG Organizational Opportunities</dc:subject>
  <dc:title> </dc:title>
</cp:coreProperties>
</file>