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ind w:start="6390" w:end="0"/>
        <w:rPr>
          <w:b/>
          <w:sz w:val="32"/>
          <w:u w:val="single"/>
        </w:rPr>
      </w:pPr>
      <w:r>
        <w:rPr>
          <w:b/>
          <w:sz w:val="32"/>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Travis McCullough</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List of accomplishments</w:t>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December 5, 2000</w:t>
            </w:r>
          </w:p>
          <w:p>
            <w:pPr>
              <w:pStyle w:val="Normal"/>
              <w:rPr/>
            </w:pPr>
            <w:r>
              <w:rPr/>
            </w:r>
          </w:p>
        </w:tc>
      </w:tr>
    </w:tbl>
    <w:p>
      <w:pPr>
        <w:pStyle w:val="Normal"/>
        <w:tabs>
          <w:tab w:val="clear" w:pos="720"/>
          <w:tab w:val="left" w:pos="1344" w:leader="none"/>
          <w:tab w:val="left" w:pos="5106" w:leader="none"/>
          <w:tab w:val="left" w:pos="7254" w:leader="none"/>
        </w:tabs>
        <w:jc w:val="both"/>
        <w:rPr/>
      </w:pPr>
      <w:r>
        <w:rPr/>
      </w:r>
    </w:p>
    <w:p>
      <w:pPr>
        <w:pStyle w:val="Normal"/>
        <w:tabs>
          <w:tab w:val="left" w:pos="720" w:leader="none"/>
          <w:tab w:val="left" w:pos="1344" w:leader="none"/>
          <w:tab w:val="left" w:pos="5106" w:leader="none"/>
          <w:tab w:val="left" w:pos="7254" w:leader="none"/>
        </w:tabs>
        <w:ind w:hanging="720" w:end="-720"/>
        <w:jc w:val="both"/>
        <w:rPr/>
      </w:pPr>
      <w:r>
        <w:rPr/>
        <w:t>1.</w:t>
        <w:tab/>
        <w:t>Organized the Enron Wholesale Markets Legal Conference.</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left" w:pos="720" w:leader="none"/>
          <w:tab w:val="left" w:pos="1344" w:leader="none"/>
          <w:tab w:val="left" w:pos="5106" w:leader="none"/>
          <w:tab w:val="left" w:pos="7254" w:leader="none"/>
        </w:tabs>
        <w:ind w:hanging="720" w:end="-720"/>
        <w:jc w:val="both"/>
        <w:rPr/>
      </w:pPr>
      <w:r>
        <w:rPr/>
        <w:t>2.</w:t>
        <w:tab/>
        <w:t xml:space="preserve">Developed the "Price Posting Agreement" with the Enron Net Works team and advised ENW in connection with price posting arrangements with two of the three leading multilateral electronic trading platforms in exchange for significant equity positions (a similar transaction with the third platform is anticipated to sign before year-end and close early 2001. </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left" w:pos="720" w:leader="none"/>
          <w:tab w:val="left" w:pos="1344" w:leader="none"/>
          <w:tab w:val="left" w:pos="5106" w:leader="none"/>
          <w:tab w:val="left" w:pos="7254" w:leader="none"/>
        </w:tabs>
        <w:ind w:hanging="720" w:end="-720"/>
        <w:jc w:val="both"/>
        <w:rPr/>
      </w:pPr>
      <w:r>
        <w:rPr/>
        <w:t>3.</w:t>
        <w:tab/>
        <w:t>Provided the legal support for the development, launch and ongoing operations of Clickpaper.com, Enron's pulp and paper trading platform.</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clear" w:pos="720"/>
          <w:tab w:val="left" w:pos="1344" w:leader="none"/>
          <w:tab w:val="left" w:pos="5106" w:leader="none"/>
          <w:tab w:val="left" w:pos="7254" w:leader="none"/>
        </w:tabs>
        <w:ind w:hanging="720" w:end="-720"/>
        <w:jc w:val="both"/>
        <w:rPr/>
      </w:pPr>
      <w:r>
        <w:rPr/>
        <w:t>4.</w:t>
        <w:tab/>
        <w:t>Assisted in business methods patent application for EnronOnline and Clickpaper (provisional application filed in mid-2000 for EOL; amended in fall of 2000 for clickpaper.com; current amendment for Phase II of EOL to be filed before year-end).</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clear" w:pos="720"/>
          <w:tab w:val="left" w:pos="1344" w:leader="none"/>
          <w:tab w:val="left" w:pos="5106" w:leader="none"/>
          <w:tab w:val="left" w:pos="7254" w:leader="none"/>
        </w:tabs>
        <w:ind w:hanging="720" w:end="-720"/>
        <w:jc w:val="both"/>
        <w:rPr/>
      </w:pPr>
      <w:r>
        <w:rPr/>
        <w:t>5.</w:t>
        <w:tab/>
        <w:t>Worked with Anne Koehler on the administration of the portfolio of assets in Project Merlin in connection with portfolio asset defaults and the provision of Enron credit support and in connection with the structuring of the proposed East Coast Power sale.</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clear" w:pos="720"/>
          <w:tab w:val="left" w:pos="1344" w:leader="none"/>
          <w:tab w:val="left" w:pos="5106" w:leader="none"/>
          <w:tab w:val="left" w:pos="7254" w:leader="none"/>
        </w:tabs>
        <w:ind w:hanging="720" w:end="-720"/>
        <w:jc w:val="both"/>
        <w:rPr/>
      </w:pPr>
      <w:r>
        <w:rPr/>
        <w:t>6.</w:t>
        <w:tab/>
        <w:t>Worked with Lisa Mellencamp on a variety of East Coast Power matters, including "re-registration" of the Senior Notes under the 1934 Act and the potential sale of JEDI II's interest in ECP to El Paso.</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clear" w:pos="720"/>
          <w:tab w:val="left" w:pos="1344" w:leader="none"/>
          <w:tab w:val="left" w:pos="5106" w:leader="none"/>
          <w:tab w:val="left" w:pos="7254" w:leader="none"/>
        </w:tabs>
        <w:ind w:hanging="720" w:end="-720"/>
        <w:jc w:val="both"/>
        <w:rPr/>
      </w:pPr>
      <w:r>
        <w:rPr/>
        <w:t>7.</w:t>
        <w:tab/>
        <w:t>Advised the commercial team with respect to management, financing, and/or disposition of numerous merchant portfolio assets (including UtiliQuest, LSI, Industrial Growth Partners, American Coal Company, Las Vegas Cogeneration, CityForest, Repap, CanFibre).</w:t>
      </w:r>
    </w:p>
    <w:p>
      <w:pPr>
        <w:pStyle w:val="Normal"/>
        <w:tabs>
          <w:tab w:val="clear" w:pos="720"/>
          <w:tab w:val="left" w:pos="1344" w:leader="none"/>
          <w:tab w:val="left" w:pos="5106" w:leader="none"/>
          <w:tab w:val="left" w:pos="7254" w:leader="none"/>
        </w:tabs>
        <w:ind w:hanging="720" w:end="-720"/>
        <w:jc w:val="both"/>
        <w:rPr/>
      </w:pPr>
      <w:r>
        <w:rPr/>
      </w:r>
    </w:p>
    <w:p>
      <w:pPr>
        <w:pStyle w:val="Normal"/>
        <w:tabs>
          <w:tab w:val="clear" w:pos="720"/>
          <w:tab w:val="left" w:pos="1344" w:leader="none"/>
          <w:tab w:val="left" w:pos="5106" w:leader="none"/>
          <w:tab w:val="left" w:pos="7254" w:leader="none"/>
        </w:tabs>
        <w:ind w:hanging="720" w:end="-720"/>
        <w:jc w:val="both"/>
        <w:rPr/>
      </w:pPr>
      <w:r>
        <w:rPr/>
        <w:t>8.</w:t>
        <w:tab/>
        <w:t xml:space="preserve">Assisted the Enron Net Works and Enron North America commercial teams in several acquisitions and commercial transactions (including Kiodex and Envera (Enron Net Works commercial arrangements/equity investments)); EOL broker access; Project Green Jacket (all requirements contract similar to the UI transaction; this deal is currently being restructured); Heartland Industrial Partners (Enron investment in an investment limited partnership); Project Priscilla (Las Vegas Cogen Expansion). </w:t>
        <w:tab/>
      </w:r>
    </w:p>
    <w:p>
      <w:pPr>
        <w:pStyle w:val="Normal"/>
        <w:tabs>
          <w:tab w:val="clear" w:pos="720"/>
          <w:tab w:val="left" w:pos="1344" w:leader="none"/>
          <w:tab w:val="left" w:pos="5106" w:leader="none"/>
          <w:tab w:val="left" w:pos="7254" w:leader="none"/>
        </w:tabs>
        <w:ind w:hanging="720" w:end="-720"/>
        <w:jc w:val="both"/>
        <w:rPr/>
      </w:pPr>
      <w:r>
        <w:rPr/>
      </w:r>
    </w:p>
    <w:sectPr>
      <w:type w:val="nextPage"/>
      <w:pgSz w:w="12240" w:h="15840"/>
      <w:pgMar w:left="1800" w:right="1800" w:gutter="0" w:header="0" w:top="72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2000-12-03T19:02:00Z</dcterms:created>
  <dc:creator>tmccull</dc:creator>
  <dc:description/>
  <dc:language>en-CA</dc:language>
  <cp:lastModifiedBy>Travis McCullough</cp:lastModifiedBy>
  <dcterms:modified xsi:type="dcterms:W3CDTF">2000-12-05T13:10:00Z</dcterms:modified>
  <cp:revision>6</cp:revision>
  <dc:subject/>
  <dc:title> </dc:title>
</cp:coreProperties>
</file>