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rFonts w:ascii="Times New Roman" w:hAnsi="Times New Roman" w:cs="Times New Roman"/>
          <w:sz w:val="22"/>
        </w:rPr>
      </w:pPr>
      <w:r>
        <w:rPr>
          <w:rFonts w:cs="Times New Roman" w:ascii="Times New Roman" w:hAnsi="Times New Roman"/>
          <w:sz w:val="22"/>
        </w:rPr>
        <w:tab/>
      </w:r>
    </w:p>
    <w:tbl>
      <w:tblPr>
        <w:tblW w:w="9448" w:type="dxa"/>
        <w:jc w:val="start"/>
        <w:tblInd w:w="18" w:type="dxa"/>
        <w:tblLayout w:type="fixed"/>
        <w:tblCellMar>
          <w:top w:w="0" w:type="dxa"/>
          <w:start w:w="108" w:type="dxa"/>
          <w:bottom w:w="0" w:type="dxa"/>
          <w:end w:w="108" w:type="dxa"/>
        </w:tblCellMar>
      </w:tblPr>
      <w:tblGrid>
        <w:gridCol w:w="888"/>
        <w:gridCol w:w="5140"/>
        <w:gridCol w:w="1260"/>
        <w:gridCol w:w="2160"/>
      </w:tblGrid>
      <w:tr>
        <w:trPr>
          <w:trHeight w:val="300" w:hRule="exact"/>
        </w:trPr>
        <w:tc>
          <w:tcPr>
            <w:tcW w:w="888" w:type="dxa"/>
            <w:tcBorders/>
          </w:tcPr>
          <w:p>
            <w:pPr>
              <w:pStyle w:val="Normal"/>
              <w:spacing w:before="20" w:after="0"/>
              <w:ind w:firstLine="79" w:start="-187" w:end="0"/>
              <w:jc w:val="end"/>
              <w:rPr>
                <w:rFonts w:ascii="Times New Roman" w:hAnsi="Times New Roman" w:cs="Times New Roman"/>
                <w:sz w:val="22"/>
              </w:rPr>
            </w:pPr>
            <w:r>
              <w:rPr>
                <w:rFonts w:cs="Times New Roman" w:ascii="Times New Roman" w:hAnsi="Times New Roman"/>
                <w:sz w:val="22"/>
              </w:rPr>
              <w:t>To:</w:t>
            </w:r>
          </w:p>
        </w:tc>
        <w:tc>
          <w:tcPr>
            <w:tcW w:w="5140" w:type="dxa"/>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Wade Cline and Sanjay Bhatnagar</w:t>
            </w:r>
          </w:p>
        </w:tc>
        <w:tc>
          <w:tcPr>
            <w:tcW w:w="1260" w:type="dxa"/>
            <w:tcBorders/>
          </w:tcPr>
          <w:p>
            <w:pPr>
              <w:pStyle w:val="Normal"/>
              <w:snapToGrid w:val="false"/>
              <w:spacing w:before="20" w:after="0"/>
              <w:ind w:firstLine="29" w:start="-202" w:end="0"/>
              <w:rPr>
                <w:rFonts w:ascii="Times New Roman" w:hAnsi="Times New Roman" w:cs="Times New Roman"/>
                <w:sz w:val="22"/>
              </w:rPr>
            </w:pPr>
            <w:r>
              <w:rPr>
                <w:rFonts w:cs="Times New Roman" w:ascii="Times New Roman" w:hAnsi="Times New Roman"/>
                <w:sz w:val="22"/>
              </w:rPr>
            </w:r>
          </w:p>
        </w:tc>
        <w:tc>
          <w:tcPr>
            <w:tcW w:w="216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216" w:hRule="exact"/>
        </w:trPr>
        <w:tc>
          <w:tcPr>
            <w:tcW w:w="888" w:type="dxa"/>
            <w:tcBorders/>
          </w:tcPr>
          <w:p>
            <w:pPr>
              <w:pStyle w:val="Normal"/>
              <w:snapToGrid w:val="false"/>
              <w:spacing w:before="20" w:after="0"/>
              <w:ind w:start="-187" w:end="0"/>
              <w:jc w:val="end"/>
              <w:rPr>
                <w:rFonts w:ascii="Times New Roman" w:hAnsi="Times New Roman" w:cs="Times New Roman"/>
                <w:sz w:val="22"/>
              </w:rPr>
            </w:pPr>
            <w:r>
              <w:rPr>
                <w:rFonts w:cs="Times New Roman" w:ascii="Times New Roman" w:hAnsi="Times New Roman"/>
                <w:sz w:val="22"/>
              </w:rPr>
            </w:r>
          </w:p>
        </w:tc>
        <w:tc>
          <w:tcPr>
            <w:tcW w:w="51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260" w:type="dxa"/>
            <w:tcBorders/>
          </w:tcPr>
          <w:p>
            <w:pPr>
              <w:pStyle w:val="Normal"/>
              <w:snapToGrid w:val="false"/>
              <w:spacing w:before="20" w:after="0"/>
              <w:ind w:firstLine="29" w:start="-202" w:end="0"/>
              <w:rPr>
                <w:rFonts w:ascii="Times New Roman" w:hAnsi="Times New Roman" w:cs="Times New Roman"/>
                <w:sz w:val="22"/>
              </w:rPr>
            </w:pPr>
            <w:r>
              <w:rPr>
                <w:rFonts w:cs="Times New Roman" w:ascii="Times New Roman" w:hAnsi="Times New Roman"/>
                <w:sz w:val="22"/>
              </w:rPr>
            </w:r>
          </w:p>
        </w:tc>
        <w:tc>
          <w:tcPr>
            <w:tcW w:w="216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300" w:hRule="exact"/>
        </w:trPr>
        <w:tc>
          <w:tcPr>
            <w:tcW w:w="888" w:type="dxa"/>
            <w:tcBorders/>
          </w:tcPr>
          <w:p>
            <w:pPr>
              <w:pStyle w:val="Normal"/>
              <w:spacing w:before="20" w:after="0"/>
              <w:ind w:start="-187" w:end="0"/>
              <w:jc w:val="end"/>
              <w:rPr>
                <w:rFonts w:ascii="Times New Roman" w:hAnsi="Times New Roman" w:cs="Times New Roman"/>
                <w:sz w:val="22"/>
              </w:rPr>
            </w:pPr>
            <w:r>
              <w:rPr>
                <w:rFonts w:cs="Times New Roman" w:ascii="Times New Roman" w:hAnsi="Times New Roman"/>
                <w:sz w:val="22"/>
              </w:rPr>
              <w:t>From:</w:t>
            </w:r>
          </w:p>
        </w:tc>
        <w:tc>
          <w:tcPr>
            <w:tcW w:w="5140" w:type="dxa"/>
            <w:tcBorders/>
          </w:tcPr>
          <w:p>
            <w:pPr>
              <w:pStyle w:val="From"/>
              <w:rPr>
                <w:rFonts w:ascii="Times New Roman" w:hAnsi="Times New Roman" w:cs="Times New Roman"/>
                <w:sz w:val="22"/>
              </w:rPr>
            </w:pPr>
            <w:r>
              <w:rPr>
                <w:rFonts w:cs="Times New Roman" w:ascii="Times New Roman" w:hAnsi="Times New Roman"/>
                <w:sz w:val="22"/>
              </w:rPr>
              <w:t>Jane Wilson</w:t>
            </w:r>
          </w:p>
        </w:tc>
        <w:tc>
          <w:tcPr>
            <w:tcW w:w="1260" w:type="dxa"/>
            <w:tcBorders/>
          </w:tcPr>
          <w:p>
            <w:pPr>
              <w:pStyle w:val="Normal"/>
              <w:spacing w:before="20" w:after="0"/>
              <w:ind w:firstLine="29" w:start="-202" w:end="0"/>
              <w:jc w:val="end"/>
              <w:rPr>
                <w:rFonts w:ascii="Times New Roman" w:hAnsi="Times New Roman" w:cs="Times New Roman"/>
                <w:sz w:val="22"/>
              </w:rPr>
            </w:pPr>
            <w:r>
              <w:rPr>
                <w:rFonts w:cs="Times New Roman" w:ascii="Times New Roman" w:hAnsi="Times New Roman"/>
                <w:sz w:val="22"/>
              </w:rPr>
              <w:t>Department:</w:t>
            </w:r>
          </w:p>
        </w:tc>
        <w:tc>
          <w:tcPr>
            <w:tcW w:w="2160" w:type="dxa"/>
            <w:tcBorders/>
          </w:tcPr>
          <w:p>
            <w:pPr>
              <w:pStyle w:val="Department"/>
              <w:rPr>
                <w:rFonts w:ascii="Times New Roman" w:hAnsi="Times New Roman" w:cs="Times New Roman"/>
                <w:sz w:val="22"/>
              </w:rPr>
            </w:pPr>
            <w:bookmarkStart w:id="1" w:name="From"/>
            <w:bookmarkEnd w:id="1"/>
            <w:r>
              <w:rPr>
                <w:rFonts w:cs="Times New Roman" w:ascii="Times New Roman" w:hAnsi="Times New Roman"/>
                <w:sz w:val="22"/>
              </w:rPr>
              <w:t>Gov’t &amp; Reg Affairs</w:t>
            </w:r>
          </w:p>
        </w:tc>
      </w:tr>
      <w:tr>
        <w:trPr>
          <w:trHeight w:val="216" w:hRule="exact"/>
        </w:trPr>
        <w:tc>
          <w:tcPr>
            <w:tcW w:w="888" w:type="dxa"/>
            <w:tcBorders/>
          </w:tcPr>
          <w:p>
            <w:pPr>
              <w:pStyle w:val="Normal"/>
              <w:snapToGrid w:val="false"/>
              <w:spacing w:before="20" w:after="0"/>
              <w:ind w:start="-187" w:end="0"/>
              <w:jc w:val="end"/>
              <w:rPr>
                <w:rFonts w:ascii="Times New Roman" w:hAnsi="Times New Roman" w:cs="Times New Roman"/>
                <w:sz w:val="22"/>
              </w:rPr>
            </w:pPr>
            <w:r>
              <w:rPr>
                <w:rFonts w:cs="Times New Roman" w:ascii="Times New Roman" w:hAnsi="Times New Roman"/>
                <w:sz w:val="22"/>
              </w:rPr>
            </w:r>
          </w:p>
        </w:tc>
        <w:tc>
          <w:tcPr>
            <w:tcW w:w="51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260" w:type="dxa"/>
            <w:tcBorders/>
          </w:tcPr>
          <w:p>
            <w:pPr>
              <w:pStyle w:val="Normal"/>
              <w:snapToGrid w:val="false"/>
              <w:spacing w:before="20" w:after="0"/>
              <w:ind w:firstLine="29" w:start="-202" w:end="0"/>
              <w:rPr>
                <w:rFonts w:ascii="Times New Roman" w:hAnsi="Times New Roman" w:cs="Times New Roman"/>
                <w:sz w:val="22"/>
              </w:rPr>
            </w:pPr>
            <w:r>
              <w:rPr>
                <w:rFonts w:cs="Times New Roman" w:ascii="Times New Roman" w:hAnsi="Times New Roman"/>
                <w:sz w:val="22"/>
              </w:rPr>
            </w:r>
          </w:p>
        </w:tc>
        <w:tc>
          <w:tcPr>
            <w:tcW w:w="216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exact"/>
        </w:trPr>
        <w:tc>
          <w:tcPr>
            <w:tcW w:w="888" w:type="dxa"/>
            <w:tcBorders>
              <w:bottom w:val="single" w:sz="18" w:space="0" w:color="000000"/>
            </w:tcBorders>
          </w:tcPr>
          <w:p>
            <w:pPr>
              <w:pStyle w:val="Normal"/>
              <w:spacing w:before="20" w:after="0"/>
              <w:ind w:start="-187" w:end="0"/>
              <w:jc w:val="end"/>
              <w:rPr>
                <w:rFonts w:ascii="Times New Roman" w:hAnsi="Times New Roman" w:cs="Times New Roman"/>
                <w:sz w:val="22"/>
              </w:rPr>
            </w:pPr>
            <w:r>
              <w:rPr>
                <w:rFonts w:cs="Times New Roman" w:ascii="Times New Roman" w:hAnsi="Times New Roman"/>
                <w:sz w:val="22"/>
              </w:rPr>
              <w:t>Subject:</w:t>
            </w:r>
          </w:p>
        </w:tc>
        <w:tc>
          <w:tcPr>
            <w:tcW w:w="5140" w:type="dxa"/>
            <w:tcBorders>
              <w:bottom w:val="single" w:sz="18" w:space="0" w:color="000000"/>
            </w:tcBorders>
          </w:tcPr>
          <w:p>
            <w:pPr>
              <w:pStyle w:val="Subject"/>
              <w:rPr>
                <w:rFonts w:ascii="Times New Roman" w:hAnsi="Times New Roman" w:cs="Times New Roman"/>
                <w:sz w:val="22"/>
              </w:rPr>
            </w:pPr>
            <w:bookmarkStart w:id="2" w:name="Subject"/>
            <w:bookmarkEnd w:id="2"/>
            <w:r>
              <w:rPr>
                <w:rFonts w:cs="Times New Roman" w:ascii="Times New Roman" w:hAnsi="Times New Roman"/>
                <w:sz w:val="22"/>
              </w:rPr>
              <w:t>Accomplishments 2000</w:t>
            </w:r>
          </w:p>
        </w:tc>
        <w:tc>
          <w:tcPr>
            <w:tcW w:w="1260" w:type="dxa"/>
            <w:tcBorders>
              <w:bottom w:val="single" w:sz="18" w:space="0" w:color="000000"/>
            </w:tcBorders>
          </w:tcPr>
          <w:p>
            <w:pPr>
              <w:pStyle w:val="Normal"/>
              <w:spacing w:before="20" w:after="0"/>
              <w:ind w:firstLine="29" w:start="-202" w:end="0"/>
              <w:jc w:val="end"/>
              <w:rPr>
                <w:rFonts w:ascii="Times New Roman" w:hAnsi="Times New Roman" w:cs="Times New Roman"/>
                <w:sz w:val="22"/>
              </w:rPr>
            </w:pPr>
            <w:r>
              <w:rPr>
                <w:rFonts w:cs="Times New Roman" w:ascii="Times New Roman" w:hAnsi="Times New Roman"/>
                <w:sz w:val="22"/>
              </w:rPr>
              <w:t>Date:</w:t>
            </w:r>
          </w:p>
        </w:tc>
        <w:tc>
          <w:tcPr>
            <w:tcW w:w="2160" w:type="dxa"/>
            <w:tcBorders>
              <w:bottom w:val="single" w:sz="18" w:space="0" w:color="000000"/>
            </w:tcBorders>
          </w:tcPr>
          <w:p>
            <w:pPr>
              <w:pStyle w:val="Date"/>
              <w:rPr>
                <w:rFonts w:ascii="Times New Roman" w:hAnsi="Times New Roman" w:cs="Times New Roman"/>
                <w:sz w:val="22"/>
              </w:rPr>
            </w:pPr>
            <w:r>
              <w:rPr>
                <w:rFonts w:cs="Times New Roman" w:ascii="Times New Roman" w:hAnsi="Times New Roman"/>
                <w:sz w:val="22"/>
              </w:rPr>
              <w:t>Dec. 28, 2000</w:t>
            </w:r>
          </w:p>
        </w:tc>
      </w:tr>
    </w:tbl>
    <w:p>
      <w:pPr>
        <w:pStyle w:val="Body"/>
        <w:ind w:start="0" w:end="0"/>
        <w:rPr>
          <w:rFonts w:ascii="Times New Roman" w:hAnsi="Times New Roman" w:cs="Times New Roman"/>
          <w:color w:val="000000"/>
          <w:sz w:val="22"/>
        </w:rPr>
      </w:pPr>
      <w:r>
        <w:rPr>
          <w:rFonts w:cs="Times New Roman" w:ascii="Times New Roman" w:hAnsi="Times New Roman"/>
          <w:color w:val="000000"/>
          <w:sz w:val="22"/>
        </w:rPr>
      </w:r>
      <w:bookmarkStart w:id="3" w:name="StartOfMemo"/>
      <w:bookmarkStart w:id="4" w:name="StartOfMemo"/>
      <w:bookmarkEnd w:id="4"/>
    </w:p>
    <w:p>
      <w:pPr>
        <w:pStyle w:val="Body"/>
        <w:ind w:start="0" w:end="0"/>
        <w:rPr>
          <w:rFonts w:ascii="Times New Roman" w:hAnsi="Times New Roman" w:cs="Times New Roman"/>
          <w:b/>
          <w:color w:val="000000"/>
          <w:sz w:val="22"/>
        </w:rPr>
      </w:pPr>
      <w:r>
        <w:rPr>
          <w:rFonts w:cs="Times New Roman" w:ascii="Times New Roman" w:hAnsi="Times New Roman"/>
          <w:b/>
          <w:color w:val="000000"/>
          <w:sz w:val="22"/>
        </w:rPr>
      </w:r>
    </w:p>
    <w:p>
      <w:pPr>
        <w:pStyle w:val="Heading6"/>
        <w:ind w:hanging="0" w:start="0"/>
        <w:rPr/>
      </w:pPr>
      <w:r>
        <w:rPr/>
        <w:t>General</w:t>
      </w:r>
    </w:p>
    <w:p>
      <w:pPr>
        <w:pStyle w:val="Normal"/>
        <w:jc w:val="both"/>
        <w:rPr/>
      </w:pPr>
      <w:r>
        <w:rPr/>
      </w:r>
    </w:p>
    <w:p>
      <w:pPr>
        <w:pStyle w:val="Normal"/>
        <w:numPr>
          <w:ilvl w:val="0"/>
          <w:numId w:val="2"/>
        </w:numPr>
        <w:jc w:val="both"/>
        <w:rPr/>
      </w:pPr>
      <w:r>
        <w:rPr>
          <w:i/>
        </w:rPr>
        <w:t xml:space="preserve">India regulatory function.  </w:t>
      </w:r>
      <w:r>
        <w:rPr/>
        <w:t>Formally developed regulatory function in India region.  Connected India region to Enron’s Government and Regulatory Affairs group worldwide and directly and indirectly tapped into and utilized Enron’s worldwide regulatory experience in India.</w:t>
      </w:r>
    </w:p>
    <w:p>
      <w:pPr>
        <w:pStyle w:val="Normal"/>
        <w:numPr>
          <w:ilvl w:val="0"/>
          <w:numId w:val="17"/>
        </w:numPr>
        <w:jc w:val="both"/>
        <w:rPr/>
      </w:pPr>
      <w:r>
        <w:rPr>
          <w:i/>
        </w:rPr>
        <w:t xml:space="preserve">Established Credibility in Sectors.  </w:t>
      </w:r>
      <w:r>
        <w:rPr/>
        <w:t>Established Enron’s reputation in India for having reform and operational regulatory expertise in gas and power among government members and associations.  Government members have, on multiple occasions, specifically requested comments from Jane and her team.  Commenced the same process for telecommunications.</w:t>
      </w:r>
    </w:p>
    <w:p>
      <w:pPr>
        <w:pStyle w:val="Normal"/>
        <w:numPr>
          <w:ilvl w:val="0"/>
          <w:numId w:val="7"/>
        </w:numPr>
        <w:jc w:val="both"/>
        <w:rPr/>
      </w:pPr>
      <w:r>
        <w:rPr>
          <w:i/>
        </w:rPr>
        <w:t>Trade Associations</w:t>
      </w:r>
      <w:r>
        <w:rPr/>
        <w:t>.  Developed relationships with Confederation of Indian Industry (CII), FICCI, IPPAI and AMCHAM with regard to restructuring and Enron’s comments form the basis of the trade associations’ comments.</w:t>
      </w:r>
      <w:r>
        <w:rPr>
          <w:b/>
        </w:rPr>
        <w:t xml:space="preserve"> </w:t>
      </w:r>
      <w:r>
        <w:rPr/>
        <w:t>Headed two AMCHAM energy task forces as team leader.  Members actually worked together to develop position papers.  Gave regulatory substantive depth to AMCHAM in energy.</w:t>
      </w:r>
    </w:p>
    <w:p>
      <w:pPr>
        <w:pStyle w:val="Normal"/>
        <w:numPr>
          <w:ilvl w:val="0"/>
          <w:numId w:val="22"/>
        </w:numPr>
        <w:jc w:val="both"/>
        <w:rPr/>
      </w:pPr>
      <w:r>
        <w:rPr>
          <w:i/>
        </w:rPr>
        <w:t xml:space="preserve">Developed regulatory team.  </w:t>
      </w:r>
      <w:r>
        <w:rPr/>
        <w:t xml:space="preserve">Created an effective regulatory team on a formal and informal basis, pulling together Houston regulatory personnel, hiring one individual in India for telecommunications, utilizing two DPC employees, two Ahmedabad employees, interconnecting with Delhi office and drafting commercial employees onto the team as and when needed.  </w:t>
      </w:r>
    </w:p>
    <w:p>
      <w:pPr>
        <w:pStyle w:val="Normal"/>
        <w:numPr>
          <w:ilvl w:val="0"/>
          <w:numId w:val="16"/>
        </w:numPr>
        <w:jc w:val="both"/>
        <w:rPr/>
      </w:pPr>
      <w:r>
        <w:rPr>
          <w:i/>
        </w:rPr>
        <w:t>Speeches, etc</w:t>
      </w:r>
      <w:r>
        <w:rPr/>
        <w:t>.  Multiple speeches/presentations, press interviews, and press articles:</w:t>
      </w:r>
    </w:p>
    <w:p>
      <w:pPr>
        <w:pStyle w:val="Heading"/>
        <w:numPr>
          <w:ilvl w:val="0"/>
          <w:numId w:val="15"/>
        </w:numPr>
        <w:rPr>
          <w:b w:val="false"/>
        </w:rPr>
      </w:pPr>
      <w:r>
        <w:rPr>
          <w:b w:val="false"/>
        </w:rPr>
        <w:t>Presentation to TERI Institute two-week regulator training course with regard to the regulatory function.  Set forth the competitive market structure and the objectives for regulators.</w:t>
      </w:r>
    </w:p>
    <w:p>
      <w:pPr>
        <w:pStyle w:val="Heading"/>
        <w:numPr>
          <w:ilvl w:val="0"/>
          <w:numId w:val="15"/>
        </w:numPr>
        <w:rPr>
          <w:b w:val="false"/>
        </w:rPr>
      </w:pPr>
      <w:r>
        <w:rPr>
          <w:b w:val="false"/>
        </w:rPr>
        <w:t>Three internal presentations to Staff to share general information about competition and restructuring.</w:t>
      </w:r>
    </w:p>
    <w:p>
      <w:pPr>
        <w:pStyle w:val="Heading"/>
        <w:numPr>
          <w:ilvl w:val="0"/>
          <w:numId w:val="15"/>
        </w:numPr>
        <w:rPr>
          <w:b w:val="false"/>
        </w:rPr>
      </w:pPr>
      <w:r>
        <w:rPr>
          <w:b w:val="false"/>
        </w:rPr>
        <w:t>Panel moderator for CII conference on regulation.</w:t>
      </w:r>
    </w:p>
    <w:p>
      <w:pPr>
        <w:pStyle w:val="Heading"/>
        <w:numPr>
          <w:ilvl w:val="0"/>
          <w:numId w:val="15"/>
        </w:numPr>
        <w:rPr>
          <w:b w:val="false"/>
        </w:rPr>
      </w:pPr>
      <w:r>
        <w:rPr>
          <w:b w:val="false"/>
        </w:rPr>
        <w:t xml:space="preserve">Presentation to IPPAI restructuring conference regarding international experience in restructuring.  </w:t>
      </w:r>
    </w:p>
    <w:p>
      <w:pPr>
        <w:pStyle w:val="Heading"/>
        <w:numPr>
          <w:ilvl w:val="0"/>
          <w:numId w:val="15"/>
        </w:numPr>
        <w:rPr>
          <w:b w:val="false"/>
        </w:rPr>
      </w:pPr>
      <w:r>
        <w:rPr>
          <w:b w:val="false"/>
        </w:rPr>
        <w:t>Presentation on Five Critical Ingredients for Restructuring to Competitive Markets in two IPPAI conferences on issuance of regulatory rate case orders and one Indian Industry Association conference.</w:t>
      </w:r>
    </w:p>
    <w:p>
      <w:pPr>
        <w:pStyle w:val="Heading"/>
        <w:numPr>
          <w:ilvl w:val="0"/>
          <w:numId w:val="15"/>
        </w:numPr>
        <w:rPr>
          <w:b w:val="false"/>
        </w:rPr>
      </w:pPr>
      <w:r>
        <w:rPr>
          <w:b w:val="false"/>
        </w:rPr>
        <w:t xml:space="preserve">Multiple IPPAI Presentations on convergence (in the sense of use of regulated asset – right-of-way – for laying fibre) in Gujarat, Mumbai and Delhi.  </w:t>
      </w:r>
    </w:p>
    <w:p>
      <w:pPr>
        <w:pStyle w:val="Heading"/>
        <w:numPr>
          <w:ilvl w:val="0"/>
          <w:numId w:val="13"/>
        </w:numPr>
        <w:rPr>
          <w:b w:val="false"/>
        </w:rPr>
      </w:pPr>
      <w:r>
        <w:rPr>
          <w:b w:val="false"/>
        </w:rPr>
        <w:t>Prepared and co-presented with ERG the AMCHAM substantive presentation to the Department of Energy delegation which was in India in preparation for Vajpayee’s U.S. visit.</w:t>
      </w:r>
    </w:p>
    <w:p>
      <w:pPr>
        <w:pStyle w:val="Heading"/>
        <w:numPr>
          <w:ilvl w:val="0"/>
          <w:numId w:val="13"/>
        </w:numPr>
        <w:rPr>
          <w:b w:val="false"/>
        </w:rPr>
      </w:pPr>
      <w:r>
        <w:rPr>
          <w:b w:val="false"/>
        </w:rPr>
        <w:t>Prepared and presented presentation in the AMCHAM Power forum on power reforms.</w:t>
      </w:r>
    </w:p>
    <w:p>
      <w:pPr>
        <w:pStyle w:val="Heading"/>
        <w:numPr>
          <w:ilvl w:val="0"/>
          <w:numId w:val="13"/>
        </w:numPr>
        <w:rPr>
          <w:b w:val="false"/>
        </w:rPr>
      </w:pPr>
      <w:r>
        <w:rPr>
          <w:b w:val="false"/>
        </w:rPr>
        <w:t>Made presentation on restructuring at the Bombay Chamber of Commerce as sponsored by the United States consulate.</w:t>
      </w:r>
    </w:p>
    <w:p>
      <w:pPr>
        <w:pStyle w:val="Normal"/>
        <w:numPr>
          <w:ilvl w:val="0"/>
          <w:numId w:val="6"/>
        </w:numPr>
        <w:jc w:val="both"/>
        <w:rPr/>
      </w:pPr>
      <w:r>
        <w:rPr/>
        <w:t>Represented Enron on a panel discussing private sector perspectives on regulation at a course on Infrastructure Regulation and Reform, sponsored by Teri and the World Bank.</w:t>
      </w:r>
    </w:p>
    <w:p>
      <w:pPr>
        <w:pStyle w:val="BodyText"/>
        <w:numPr>
          <w:ilvl w:val="0"/>
          <w:numId w:val="6"/>
        </w:numPr>
        <w:jc w:val="both"/>
        <w:rPr>
          <w:rFonts w:ascii="Arial" w:hAnsi="Arial" w:cs="Arial"/>
          <w:i/>
          <w:i/>
        </w:rPr>
      </w:pPr>
      <w:r>
        <w:rPr/>
        <w:t>Made presentation on competition in the electricity markets at a TERI New Delhi Conference on Regulation in infrastructure services: progress and the way forward.</w:t>
      </w:r>
    </w:p>
    <w:p>
      <w:pPr>
        <w:pStyle w:val="BodyText"/>
        <w:numPr>
          <w:ilvl w:val="0"/>
          <w:numId w:val="6"/>
        </w:numPr>
        <w:jc w:val="both"/>
        <w:rPr>
          <w:rFonts w:ascii="Arial" w:hAnsi="Arial" w:cs="Arial"/>
          <w:i/>
          <w:i/>
        </w:rPr>
      </w:pPr>
      <w:r>
        <w:rPr>
          <w:rFonts w:cs="Arial" w:ascii="Arial" w:hAnsi="Arial"/>
        </w:rPr>
        <w:t xml:space="preserve">Article published in </w:t>
      </w:r>
      <w:r>
        <w:rPr>
          <w:rFonts w:cs="Arial" w:ascii="Arial" w:hAnsi="Arial"/>
          <w:i/>
        </w:rPr>
        <w:t xml:space="preserve">India Power and Infrastructure Reporter </w:t>
      </w:r>
      <w:r>
        <w:rPr>
          <w:rFonts w:cs="Arial" w:ascii="Arial" w:hAnsi="Arial"/>
        </w:rPr>
        <w:t>on restructuring in developing countries.</w:t>
      </w:r>
    </w:p>
    <w:p>
      <w:pPr>
        <w:pStyle w:val="Heading"/>
        <w:numPr>
          <w:ilvl w:val="0"/>
          <w:numId w:val="13"/>
        </w:numPr>
        <w:rPr>
          <w:b w:val="false"/>
          <w:i/>
          <w:i/>
        </w:rPr>
      </w:pPr>
      <w:r>
        <w:rPr>
          <w:b w:val="false"/>
        </w:rPr>
        <w:t xml:space="preserve">Article published in </w:t>
      </w:r>
      <w:r>
        <w:rPr>
          <w:b w:val="false"/>
          <w:i/>
        </w:rPr>
        <w:t>Business Express</w:t>
      </w:r>
      <w:r>
        <w:rPr>
          <w:b w:val="false"/>
        </w:rPr>
        <w:t xml:space="preserve"> on Electricity Bill 2000.</w:t>
      </w:r>
    </w:p>
    <w:p>
      <w:pPr>
        <w:pStyle w:val="Heading"/>
        <w:numPr>
          <w:ilvl w:val="0"/>
          <w:numId w:val="13"/>
        </w:numPr>
        <w:rPr>
          <w:b w:val="false"/>
          <w:i/>
          <w:i/>
        </w:rPr>
      </w:pPr>
      <w:r>
        <w:rPr>
          <w:b w:val="false"/>
        </w:rPr>
        <w:t xml:space="preserve">Prepared responses to formatted questions for a feature article (on me) in </w:t>
      </w:r>
      <w:r>
        <w:rPr>
          <w:b w:val="false"/>
          <w:i/>
        </w:rPr>
        <w:t>Powerline</w:t>
      </w:r>
      <w:r>
        <w:rPr>
          <w:b w:val="false"/>
        </w:rPr>
        <w:t xml:space="preserve"> magazine.</w:t>
      </w:r>
    </w:p>
    <w:p>
      <w:pPr>
        <w:pStyle w:val="Heading"/>
        <w:numPr>
          <w:ilvl w:val="0"/>
          <w:numId w:val="13"/>
        </w:numPr>
        <w:rPr>
          <w:b w:val="false"/>
          <w:i/>
          <w:i/>
        </w:rPr>
      </w:pPr>
      <w:r>
        <w:rPr>
          <w:b w:val="false"/>
        </w:rPr>
        <w:t>Wrote article on five necessary ingredients for restructuring and the necessity to introduce the Electricity Bill 2000 draft that was collectively prepared by the sector.  This article has been published in various forms in multiple venues.</w:t>
      </w:r>
    </w:p>
    <w:p>
      <w:pPr>
        <w:pStyle w:val="Normal"/>
        <w:jc w:val="both"/>
        <w:rPr>
          <w:b/>
          <w:i/>
          <w:i/>
        </w:rPr>
      </w:pPr>
      <w:r>
        <w:rPr>
          <w:b/>
          <w:i/>
        </w:rPr>
      </w:r>
    </w:p>
    <w:p>
      <w:pPr>
        <w:pStyle w:val="Heading"/>
        <w:rPr/>
      </w:pPr>
      <w:r>
        <w:rPr/>
        <w:t>Electricity Sector</w:t>
      </w:r>
    </w:p>
    <w:p>
      <w:pPr>
        <w:pStyle w:val="Heading"/>
        <w:rPr>
          <w:b w:val="false"/>
          <w:i/>
          <w:i/>
        </w:rPr>
      </w:pPr>
      <w:r>
        <w:rPr>
          <w:b w:val="false"/>
          <w:i/>
        </w:rPr>
      </w:r>
    </w:p>
    <w:p>
      <w:pPr>
        <w:pStyle w:val="Normal"/>
        <w:numPr>
          <w:ilvl w:val="0"/>
          <w:numId w:val="20"/>
        </w:numPr>
        <w:jc w:val="both"/>
        <w:rPr>
          <w:b/>
        </w:rPr>
      </w:pPr>
      <w:r>
        <w:rPr>
          <w:i/>
        </w:rPr>
        <w:t xml:space="preserve">DPC Regulatory Risk Analysis.  </w:t>
      </w:r>
      <w:r>
        <w:rPr/>
        <w:t>Performed detailed and effective regulatory risk analysis for DPC as a result of MERC’s May 5, 2000 order.  Conclusions continue to remain valid.</w:t>
      </w:r>
    </w:p>
    <w:p>
      <w:pPr>
        <w:pStyle w:val="Heading"/>
        <w:numPr>
          <w:ilvl w:val="0"/>
          <w:numId w:val="11"/>
        </w:numPr>
        <w:rPr>
          <w:b w:val="false"/>
        </w:rPr>
      </w:pPr>
      <w:r>
        <w:rPr>
          <w:b w:val="false"/>
          <w:i/>
        </w:rPr>
        <w:t>Electricity Bill 2000</w:t>
      </w:r>
      <w:r>
        <w:rPr>
          <w:b w:val="false"/>
        </w:rPr>
        <w:t>. Analyzed eight drafts of the Indian Central Government’s Electricity Bill 2000.  Moved the draft from one that included no provision for marketing and deregulation of prices to one that provides all ingredients necessary for marketing, albeit with no definite timeline for implementation (since that is left to the discretion of the states).  Discovered existence of separate Ministry of Power draft and determined that the essentials for trading are (so far) included in the bill.</w:t>
      </w:r>
    </w:p>
    <w:p>
      <w:pPr>
        <w:pStyle w:val="Normal"/>
        <w:numPr>
          <w:ilvl w:val="0"/>
          <w:numId w:val="8"/>
        </w:numPr>
        <w:jc w:val="both"/>
        <w:rPr>
          <w:b/>
        </w:rPr>
      </w:pPr>
      <w:r>
        <w:rPr>
          <w:i/>
        </w:rPr>
        <w:t>Maharashtra State Electricity Board (MSEB) Rate Cases</w:t>
      </w:r>
      <w:r>
        <w:rPr/>
        <w:t xml:space="preserve">.  </w:t>
      </w:r>
    </w:p>
    <w:p>
      <w:pPr>
        <w:pStyle w:val="Normal"/>
        <w:numPr>
          <w:ilvl w:val="0"/>
          <w:numId w:val="13"/>
        </w:numPr>
        <w:jc w:val="both"/>
        <w:rPr/>
      </w:pPr>
      <w:r>
        <w:rPr/>
        <w:t xml:space="preserve">Analyzed the first Maharashtra Electricity Regulatory Commission (MERC) order to determine the effect thereof on MSEB.  Provided input into the Petition for Review, procedurally and substantively.  Commented extensively on MSEB Petition draft. </w:t>
      </w:r>
    </w:p>
    <w:p>
      <w:pPr>
        <w:pStyle w:val="Normal"/>
        <w:numPr>
          <w:ilvl w:val="0"/>
          <w:numId w:val="13"/>
        </w:numPr>
        <w:jc w:val="both"/>
        <w:rPr>
          <w:b/>
        </w:rPr>
      </w:pPr>
      <w:r>
        <w:rPr/>
        <w:t xml:space="preserve">Inserted team into MSEB’s rate case preparation, doing hands-on cost of service studies and rate design in an attempt to increase billing determinants to increase MSEB revenues (objective: increase funds to pay DPC and improve quality of filing).  </w:t>
      </w:r>
    </w:p>
    <w:p>
      <w:pPr>
        <w:pStyle w:val="Normal"/>
        <w:numPr>
          <w:ilvl w:val="0"/>
          <w:numId w:val="13"/>
        </w:numPr>
        <w:jc w:val="both"/>
        <w:rPr>
          <w:b/>
        </w:rPr>
      </w:pPr>
      <w:r>
        <w:rPr/>
        <w:t>Developed a note for the rate case on merit order dispatch that defines the concept according to international best practice and recommends how same should be effected by MSEB.</w:t>
      </w:r>
    </w:p>
    <w:p>
      <w:pPr>
        <w:pStyle w:val="Normal"/>
        <w:numPr>
          <w:ilvl w:val="0"/>
          <w:numId w:val="13"/>
        </w:numPr>
        <w:jc w:val="both"/>
        <w:rPr>
          <w:b/>
        </w:rPr>
      </w:pPr>
      <w:r>
        <w:rPr/>
        <w:t>Identified the problem of the SEBs not being able to recover costs of power purchase costs for variances from estimated volumes included in rate case.</w:t>
      </w:r>
    </w:p>
    <w:p>
      <w:pPr>
        <w:pStyle w:val="Heading"/>
        <w:numPr>
          <w:ilvl w:val="0"/>
          <w:numId w:val="19"/>
        </w:numPr>
        <w:rPr>
          <w:b w:val="false"/>
        </w:rPr>
      </w:pPr>
      <w:r>
        <w:rPr>
          <w:b w:val="false"/>
          <w:i/>
        </w:rPr>
        <w:t>MERC</w:t>
      </w:r>
      <w:r>
        <w:rPr>
          <w:b w:val="false"/>
        </w:rPr>
        <w:t xml:space="preserve">.  Developed relationship with MERC Chairman with regard to restructuring and regulatory function in general.  In discussions on merit order dispatch, agreed with Chairman that the MERC would not reopen the PPA in the first MSEB rate case, and the Commission kept its agreement. </w:t>
      </w:r>
    </w:p>
    <w:p>
      <w:pPr>
        <w:pStyle w:val="Heading"/>
        <w:numPr>
          <w:ilvl w:val="0"/>
          <w:numId w:val="19"/>
        </w:numPr>
        <w:rPr>
          <w:b w:val="false"/>
        </w:rPr>
      </w:pPr>
      <w:r>
        <w:rPr>
          <w:b w:val="false"/>
          <w:i/>
        </w:rPr>
        <w:t xml:space="preserve">Third Party Sales/Trading. </w:t>
      </w:r>
    </w:p>
    <w:p>
      <w:pPr>
        <w:pStyle w:val="Heading"/>
        <w:numPr>
          <w:ilvl w:val="0"/>
          <w:numId w:val="13"/>
        </w:numPr>
        <w:rPr>
          <w:b w:val="false"/>
          <w:color w:val="000000"/>
        </w:rPr>
      </w:pPr>
      <w:r>
        <w:rPr>
          <w:b w:val="false"/>
        </w:rPr>
        <w:t xml:space="preserve">Participated in the evaluation of Karnataka Energy Board reply on the prospects of third party sales in an attempt to find alternatives to conditions and pricing of the appropriate offer/reply.  Creation of government and regulatory affairs mobilisation plan.  </w:t>
      </w:r>
    </w:p>
    <w:p>
      <w:pPr>
        <w:pStyle w:val="Heading"/>
        <w:numPr>
          <w:ilvl w:val="0"/>
          <w:numId w:val="13"/>
        </w:numPr>
        <w:rPr>
          <w:b w:val="false"/>
          <w:color w:val="000000"/>
        </w:rPr>
      </w:pPr>
      <w:r>
        <w:rPr>
          <w:b w:val="false"/>
        </w:rPr>
        <w:t xml:space="preserve">Team fully supported the efforts to develop a trading business in India on both a technical and regulatory basis.  </w:t>
      </w:r>
    </w:p>
    <w:p>
      <w:pPr>
        <w:pStyle w:val="Heading"/>
        <w:numPr>
          <w:ilvl w:val="0"/>
          <w:numId w:val="13"/>
        </w:numPr>
        <w:rPr>
          <w:b w:val="false"/>
          <w:color w:val="000000"/>
        </w:rPr>
      </w:pPr>
      <w:r>
        <w:rPr>
          <w:b w:val="false"/>
          <w:color w:val="000000"/>
        </w:rPr>
        <w:t xml:space="preserve">Obtained internal consensus with regard to obtaining a supportive legal opinion for the FIPB application for the trading company and successfully worked with legal thereon. </w:t>
      </w:r>
      <w:r>
        <w:rPr>
          <w:b w:val="false"/>
        </w:rPr>
        <w:t>Commented on and assisted in writing the request for brief for the legal opinion on the trading FIPB filing.</w:t>
      </w:r>
    </w:p>
    <w:p>
      <w:pPr>
        <w:pStyle w:val="Heading"/>
        <w:numPr>
          <w:ilvl w:val="0"/>
          <w:numId w:val="13"/>
        </w:numPr>
        <w:rPr>
          <w:b w:val="false"/>
          <w:color w:val="000000"/>
        </w:rPr>
      </w:pPr>
      <w:r>
        <w:rPr>
          <w:b w:val="false"/>
        </w:rPr>
        <w:t xml:space="preserve">Determined the trading regulatory environment on a state and central basis. </w:t>
      </w:r>
    </w:p>
    <w:p>
      <w:pPr>
        <w:pStyle w:val="Heading"/>
        <w:numPr>
          <w:ilvl w:val="0"/>
          <w:numId w:val="13"/>
        </w:numPr>
        <w:rPr>
          <w:rFonts w:ascii="Bookman Old Style" w:hAnsi="Bookman Old Style" w:cs="Bookman Old Style"/>
          <w:b w:val="false"/>
        </w:rPr>
      </w:pPr>
      <w:r>
        <w:rPr>
          <w:b w:val="false"/>
        </w:rPr>
        <w:t xml:space="preserve">Assisted in the build up of business plan for power marketing for 2001/2 period. </w:t>
      </w:r>
    </w:p>
    <w:p>
      <w:pPr>
        <w:pStyle w:val="Heading"/>
        <w:rPr>
          <w:rFonts w:ascii="Bookman Old Style" w:hAnsi="Bookman Old Style" w:cs="Bookman Old Style"/>
          <w:b w:val="false"/>
        </w:rPr>
      </w:pPr>
      <w:r>
        <w:rPr>
          <w:rFonts w:eastAsia="Symbol" w:cs="Symbol" w:ascii="Symbol" w:hAnsi="Symbol"/>
          <w:b w:val="false"/>
        </w:rPr>
        <w:sym w:font="Symbol" w:char="f0b7"/>
      </w:r>
      <w:r>
        <w:rPr>
          <w:b w:val="false"/>
        </w:rPr>
        <w:tab/>
      </w:r>
      <w:r>
        <w:rPr>
          <w:b w:val="false"/>
          <w:i/>
        </w:rPr>
        <w:t xml:space="preserve">MSEB Paranjpe MERC proceeding. </w:t>
      </w:r>
      <w:r>
        <w:rPr>
          <w:b w:val="false"/>
        </w:rPr>
        <w:t>Wrote MSEB’s commercial department’s response to the MERC in the Paranjpe proceeding wherein Paranjpe argues that DPC power is not needed.  The response consisted of points with regard to MSEB's duty to supply its customers and how this duty interacts with the power purchase instructions from the MERC in its May 5, 2000, order on the last MSEB rate case.  Basically argued that the guideline (that power in addition to what was authorized in the order could be purchased if the average revenue realized is more than the power’s variable costs) is merely a guideline because DPC's variable cost is explicitly expected to float with the price of oil.</w:t>
      </w:r>
    </w:p>
    <w:p>
      <w:pPr>
        <w:pStyle w:val="Normal"/>
        <w:keepLines/>
        <w:spacing w:lineRule="atLeast" w:line="240"/>
        <w:jc w:val="both"/>
        <w:rPr>
          <w:rFonts w:ascii="Bookman Old Style" w:hAnsi="Bookman Old Style" w:cs="Bookman Old Style"/>
          <w:b/>
          <w:i/>
          <w:i/>
        </w:rPr>
      </w:pPr>
      <w:r>
        <w:rPr>
          <w:rFonts w:cs="Bookman Old Style" w:ascii="Bookman Old Style" w:hAnsi="Bookman Old Style"/>
          <w:b/>
          <w:i/>
        </w:rPr>
      </w:r>
    </w:p>
    <w:p>
      <w:pPr>
        <w:pStyle w:val="Heading"/>
        <w:rPr/>
      </w:pPr>
      <w:r>
        <w:rPr/>
        <w:t>Metgas</w:t>
      </w:r>
    </w:p>
    <w:p>
      <w:pPr>
        <w:pStyle w:val="Heading"/>
        <w:rPr>
          <w:b w:val="false"/>
          <w:u w:val="single"/>
        </w:rPr>
      </w:pPr>
      <w:r>
        <w:rPr>
          <w:b w:val="false"/>
          <w:u w:val="single"/>
        </w:rPr>
      </w:r>
    </w:p>
    <w:p>
      <w:pPr>
        <w:pStyle w:val="Heading"/>
        <w:numPr>
          <w:ilvl w:val="0"/>
          <w:numId w:val="14"/>
        </w:numPr>
        <w:rPr>
          <w:b w:val="false"/>
        </w:rPr>
      </w:pPr>
      <w:r>
        <w:rPr>
          <w:b w:val="false"/>
          <w:i/>
        </w:rPr>
        <w:t xml:space="preserve">Rate.  </w:t>
      </w:r>
      <w:r>
        <w:rPr>
          <w:b w:val="false"/>
        </w:rPr>
        <w:t>Designed two-part rate for Metgas pipeline.</w:t>
      </w:r>
    </w:p>
    <w:p>
      <w:pPr>
        <w:pStyle w:val="Heading"/>
        <w:numPr>
          <w:ilvl w:val="0"/>
          <w:numId w:val="14"/>
        </w:numPr>
        <w:rPr>
          <w:b w:val="false"/>
        </w:rPr>
      </w:pPr>
      <w:r>
        <w:rPr>
          <w:b w:val="false"/>
          <w:i/>
        </w:rPr>
        <w:t xml:space="preserve">GTA and Operational Processes.  </w:t>
      </w:r>
      <w:r>
        <w:rPr>
          <w:b w:val="false"/>
        </w:rPr>
        <w:t>Actively participated in the development of the Gas Transportation Agreement and the design of the nomination, scheduling, curtailment and other operational processes for Metgas.</w:t>
      </w:r>
    </w:p>
    <w:p>
      <w:pPr>
        <w:pStyle w:val="Heading"/>
        <w:numPr>
          <w:ilvl w:val="0"/>
          <w:numId w:val="14"/>
        </w:numPr>
        <w:rPr>
          <w:b w:val="false"/>
        </w:rPr>
      </w:pPr>
      <w:r>
        <w:rPr>
          <w:b w:val="false"/>
          <w:i/>
        </w:rPr>
        <w:t>Gujarat</w:t>
      </w:r>
      <w:r>
        <w:rPr>
          <w:b w:val="false"/>
        </w:rPr>
        <w:t>.  Attended forum to deliver Enron’s input to the State of Gujarat’s representative regarding its proposed regulatory framework.  Developed relationship with Government such that I was requested to participate in a working session with the actual drafters of the law.  Even though Enron and British Gas are commercial competitors, developed a relationship with British Gas and coordinated joint lobby efforts with exchange of documents and comments on the matter.</w:t>
      </w:r>
    </w:p>
    <w:p>
      <w:pPr>
        <w:pStyle w:val="Heading"/>
        <w:numPr>
          <w:ilvl w:val="0"/>
          <w:numId w:val="14"/>
        </w:numPr>
        <w:rPr>
          <w:b w:val="false"/>
        </w:rPr>
      </w:pPr>
      <w:r>
        <w:rPr>
          <w:b w:val="false"/>
          <w:i/>
        </w:rPr>
        <w:t>Enron LNG Policy paper</w:t>
      </w:r>
      <w:r>
        <w:rPr>
          <w:b w:val="false"/>
        </w:rPr>
        <w:t>.  On basis of commercial employees’ draft, wrote paper articulating Enron’s position on overall LNG policy for input into Core Group of Secretaries developing LNG Policy.</w:t>
      </w:r>
    </w:p>
    <w:p>
      <w:pPr>
        <w:pStyle w:val="Heading"/>
        <w:numPr>
          <w:ilvl w:val="0"/>
          <w:numId w:val="14"/>
        </w:numPr>
        <w:rPr>
          <w:b w:val="false"/>
        </w:rPr>
      </w:pPr>
      <w:r>
        <w:rPr>
          <w:b w:val="false"/>
          <w:i/>
        </w:rPr>
        <w:t>LNG Policy</w:t>
      </w:r>
      <w:r>
        <w:rPr>
          <w:b w:val="false"/>
        </w:rPr>
        <w:t xml:space="preserve">.  Coordinated commercial effort to determine LNG Policy input with regard to the FOB shipping transaction mandate.  Wrote position paper and presentation with which to lobby government.  Prepared a “Mobilisation Plan” to coordinate Government Affairs and Commercial Personnel lobby efforts. </w:t>
      </w:r>
    </w:p>
    <w:p>
      <w:pPr>
        <w:pStyle w:val="Heading1"/>
        <w:numPr>
          <w:ilvl w:val="0"/>
          <w:numId w:val="23"/>
        </w:numPr>
        <w:jc w:val="both"/>
        <w:rPr>
          <w:sz w:val="24"/>
          <w:u w:val="none"/>
        </w:rPr>
      </w:pPr>
      <w:r>
        <w:rPr>
          <w:i/>
          <w:sz w:val="24"/>
          <w:u w:val="none"/>
        </w:rPr>
        <w:t xml:space="preserve">GAIL/MPCL Cooperative Agreement. </w:t>
      </w:r>
      <w:r>
        <w:rPr>
          <w:sz w:val="24"/>
          <w:u w:val="none"/>
        </w:rPr>
        <w:t xml:space="preserve">Developed relationship with Rani Jadhav, Managing Director of Maharashtra Petrochemicals Corp. Ltd.  Was able to review in advance the cooperative agreement between Maharashtra and GAIL for development of gas in Maharashtra.  Ms. Jadhav will form a task force for creating the market projections for gas.  She is also responsible for creating the regulatory framework for gas in Maharashtra.  Enron has committed to submit a paper to her at the beginning of the year summarizing the elements of gas restructuring and giving her examples from around the world. </w:t>
      </w:r>
    </w:p>
    <w:p>
      <w:pPr>
        <w:pStyle w:val="Normal"/>
        <w:numPr>
          <w:ilvl w:val="0"/>
          <w:numId w:val="18"/>
        </w:numPr>
        <w:rPr>
          <w:b/>
        </w:rPr>
      </w:pPr>
      <w:r>
        <w:rPr>
          <w:i/>
        </w:rPr>
        <w:t>Strategy Forward</w:t>
      </w:r>
      <w:r>
        <w:rPr/>
        <w:t>.  Gave regulatory input as Metgas commercial develops its strategy forward as a mitigation agent for DPC take or pay risk.</w:t>
      </w:r>
    </w:p>
    <w:p>
      <w:pPr>
        <w:pStyle w:val="Heading"/>
        <w:rPr>
          <w:b w:val="false"/>
          <w:u w:val="single"/>
        </w:rPr>
      </w:pPr>
      <w:r>
        <w:rPr>
          <w:b w:val="false"/>
          <w:u w:val="single"/>
        </w:rPr>
      </w:r>
    </w:p>
    <w:p>
      <w:pPr>
        <w:pStyle w:val="Heading"/>
        <w:rPr/>
      </w:pPr>
      <w:r>
        <w:rPr/>
        <w:t>Enron India Communications</w:t>
      </w:r>
    </w:p>
    <w:p>
      <w:pPr>
        <w:pStyle w:val="Heading"/>
        <w:rPr>
          <w:b w:val="false"/>
        </w:rPr>
      </w:pPr>
      <w:r>
        <w:rPr>
          <w:b w:val="false"/>
        </w:rPr>
      </w:r>
    </w:p>
    <w:p>
      <w:pPr>
        <w:pStyle w:val="Heading"/>
        <w:numPr>
          <w:ilvl w:val="0"/>
          <w:numId w:val="21"/>
        </w:numPr>
        <w:rPr>
          <w:b w:val="false"/>
        </w:rPr>
      </w:pPr>
      <w:r>
        <w:rPr>
          <w:b w:val="false"/>
          <w:i/>
        </w:rPr>
        <w:t>Due Diligence</w:t>
      </w:r>
      <w:r>
        <w:rPr>
          <w:b w:val="false"/>
        </w:rPr>
        <w:t>.  Commenced regulatory due diligence to determine the status of India’s telecommunication regulatory regime with Scott Bolton from EBS/Houston.  Commenced process of digging into the sector so that Enron can fully participate in the regulatory process.</w:t>
      </w:r>
    </w:p>
    <w:p>
      <w:pPr>
        <w:pStyle w:val="BodyText"/>
        <w:numPr>
          <w:ilvl w:val="0"/>
          <w:numId w:val="21"/>
        </w:numPr>
        <w:rPr>
          <w:rFonts w:ascii="Arial" w:hAnsi="Arial" w:cs="Arial"/>
        </w:rPr>
      </w:pPr>
      <w:r>
        <w:rPr>
          <w:rFonts w:cs="Arial" w:ascii="Arial" w:hAnsi="Arial"/>
          <w:i/>
        </w:rPr>
        <w:t>Accounting Separation</w:t>
      </w:r>
      <w:r>
        <w:rPr>
          <w:rFonts w:cs="Arial" w:ascii="Arial" w:hAnsi="Arial"/>
        </w:rPr>
        <w:t>.  Wrote and filed comments on Telecommunications Regulatory Authority of India’s (TRAI) Consultation Paper on Accounting Separation and Formats for Accounting/Regulatory Statements.</w:t>
      </w:r>
    </w:p>
    <w:p>
      <w:pPr>
        <w:pStyle w:val="BodyText"/>
        <w:numPr>
          <w:ilvl w:val="0"/>
          <w:numId w:val="21"/>
        </w:numPr>
        <w:rPr>
          <w:rFonts w:ascii="Arial" w:hAnsi="Arial" w:cs="Arial"/>
          <w:i/>
          <w:i/>
        </w:rPr>
      </w:pPr>
      <w:r>
        <w:rPr>
          <w:rFonts w:cs="Arial" w:ascii="Arial" w:hAnsi="Arial"/>
          <w:i/>
        </w:rPr>
        <w:t>Comments on Two Communications Super-Regulator Bills.</w:t>
      </w:r>
      <w:r>
        <w:rPr>
          <w:rFonts w:cs="Arial" w:ascii="Arial" w:hAnsi="Arial"/>
        </w:rPr>
        <w:t xml:space="preserve">  Drafted and filed comments on the two current super-regulator bills that converge the communications and broadcasting regulators.  </w:t>
      </w:r>
    </w:p>
    <w:p>
      <w:pPr>
        <w:pStyle w:val="Normal"/>
        <w:numPr>
          <w:ilvl w:val="0"/>
          <w:numId w:val="3"/>
        </w:numPr>
        <w:spacing w:lineRule="atLeast" w:line="240"/>
        <w:jc w:val="both"/>
        <w:rPr>
          <w:color w:val="000000"/>
        </w:rPr>
      </w:pPr>
      <w:r>
        <w:rPr>
          <w:i/>
          <w:color w:val="000000"/>
        </w:rPr>
        <w:t>Communications regulatory strategy.</w:t>
      </w:r>
      <w:r>
        <w:rPr>
          <w:color w:val="000000"/>
        </w:rPr>
        <w:t xml:space="preserve"> Met with communications developers to formulate the regulatory vision for India.  Have agreed to promote: (i) universal access to all fiber, old and new; (ii) all restrictions on </w:t>
      </w:r>
      <w:r>
        <w:rPr>
          <w:i/>
          <w:color w:val="000000"/>
        </w:rPr>
        <w:t>any</w:t>
      </w:r>
      <w:r>
        <w:rPr>
          <w:color w:val="000000"/>
        </w:rPr>
        <w:t xml:space="preserve"> technology should be removed; and (iii) network should be able to be used for any convergent technology.</w:t>
      </w:r>
    </w:p>
    <w:p>
      <w:pPr>
        <w:pStyle w:val="Normal"/>
        <w:numPr>
          <w:ilvl w:val="0"/>
          <w:numId w:val="12"/>
        </w:numPr>
        <w:spacing w:lineRule="atLeast" w:line="240"/>
        <w:jc w:val="both"/>
        <w:rPr>
          <w:rFonts w:ascii="Bookman Old Style" w:hAnsi="Bookman Old Style" w:cs="Bookman Old Style"/>
          <w:color w:val="000000"/>
        </w:rPr>
      </w:pPr>
      <w:r>
        <w:rPr>
          <w:i/>
        </w:rPr>
        <w:t xml:space="preserve">Regulatory Presentation on India Communications.  </w:t>
      </w:r>
      <w:r>
        <w:rPr/>
        <w:t xml:space="preserve">Prepared and presented a regulatory update on India’s communications sector to EBS worldwide regulatory group.  Introduced Sharma, dedicated India regulatory employee. </w:t>
      </w:r>
    </w:p>
    <w:p>
      <w:pPr>
        <w:pStyle w:val="Normal"/>
        <w:numPr>
          <w:ilvl w:val="0"/>
          <w:numId w:val="5"/>
        </w:numPr>
        <w:spacing w:lineRule="atLeast" w:line="240"/>
        <w:jc w:val="both"/>
        <w:rPr>
          <w:rFonts w:ascii="Bookman Old Style" w:hAnsi="Bookman Old Style" w:cs="Bookman Old Style"/>
          <w:color w:val="000000"/>
        </w:rPr>
      </w:pPr>
      <w:r>
        <w:rPr>
          <w:i/>
        </w:rPr>
        <w:t xml:space="preserve">i2 Agreement. </w:t>
      </w:r>
      <w:r>
        <w:rPr/>
        <w:t xml:space="preserve"> Worked with legal to determine the licensing requirements for India for the i2 agreement and the fact that Broadband Services' ISP license will suffice. </w:t>
      </w:r>
    </w:p>
    <w:p>
      <w:pPr>
        <w:pStyle w:val="Normal"/>
        <w:numPr>
          <w:ilvl w:val="0"/>
          <w:numId w:val="10"/>
        </w:numPr>
        <w:jc w:val="both"/>
        <w:rPr>
          <w:i/>
          <w:i/>
        </w:rPr>
      </w:pPr>
      <w:r>
        <w:rPr>
          <w:i/>
        </w:rPr>
        <w:t xml:space="preserve">Worldwide regulatory conference call. </w:t>
      </w:r>
      <w:r>
        <w:rPr/>
        <w:t xml:space="preserve">Set up a bi-monthly worldwide regulatory conference call that will access regulatory experience and expertise on a global basis. </w:t>
      </w:r>
    </w:p>
    <w:p>
      <w:pPr>
        <w:pStyle w:val="Normal"/>
        <w:keepLines/>
        <w:numPr>
          <w:ilvl w:val="0"/>
          <w:numId w:val="4"/>
        </w:numPr>
        <w:tabs>
          <w:tab w:val="left" w:pos="540" w:leader="none"/>
          <w:tab w:val="left" w:pos="827" w:leader="none"/>
        </w:tabs>
        <w:spacing w:lineRule="atLeast" w:line="240"/>
        <w:jc w:val="both"/>
        <w:rPr>
          <w:color w:val="000000"/>
        </w:rPr>
      </w:pPr>
      <w:r>
        <w:rPr>
          <w:i/>
          <w:color w:val="000000"/>
        </w:rPr>
        <w:t xml:space="preserve">EBS Regulatory support in Middle East. </w:t>
      </w:r>
      <w:r>
        <w:rPr>
          <w:color w:val="000000"/>
        </w:rPr>
        <w:t>Conducted on-site regulatory and technical due diligence in Dubai, creating the foundation for regulatory support for EBS in the Middle East.</w:t>
      </w:r>
    </w:p>
    <w:p>
      <w:pPr>
        <w:pStyle w:val="Normal"/>
        <w:numPr>
          <w:ilvl w:val="0"/>
          <w:numId w:val="9"/>
        </w:numPr>
        <w:spacing w:lineRule="atLeast" w:line="240"/>
        <w:jc w:val="both"/>
        <w:rPr>
          <w:color w:val="000000"/>
        </w:rPr>
      </w:pPr>
      <w:r>
        <w:rPr>
          <w:i/>
          <w:color w:val="000000"/>
        </w:rPr>
        <w:t xml:space="preserve">AMCHAM/AT&amp;T regulatory activity. </w:t>
      </w:r>
      <w:r>
        <w:rPr>
          <w:color w:val="000000"/>
        </w:rPr>
        <w:t xml:space="preserve">Developed relationship with AMCHAM Telecommunications sub-committee chairman, AT&amp;T regional head Virat Bhatia regarding the AMCHAM/AT&amp;T regulatory activity to date and Enron's participation therein.  </w:t>
      </w:r>
    </w:p>
    <w:sectPr>
      <w:headerReference w:type="default" r:id="rId3"/>
      <w:headerReference w:type="first" r:id="rId4"/>
      <w:footerReference w:type="default" r:id="rId5"/>
      <w:footerReference w:type="first" r:id="rId6"/>
      <w:type w:val="nextPage"/>
      <w:pgSz w:w="12240" w:h="15840"/>
      <w:pgMar w:left="1440" w:right="1440" w:gutter="0" w:header="720" w:top="1440" w:footer="36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G Times (WN)">
    <w:charset w:val="00" w:characterSet="windows-1252"/>
    <w:family w:val="roman"/>
    <w:pitch w:val="variable"/>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ind w:end="360"/>
      <w:rPr>
        <w:sz w:val="16"/>
      </w:rPr>
    </w:pPr>
    <w:r>
      <w:rPr>
        <w:b/>
        <w:sz w:val="16"/>
      </w:rPr>
      <w:tab/>
      <w:t>Respect</w:t>
      <w:tab/>
      <w:t>Integrity</w:t>
      <w:tab/>
      <w:t>Communication</w:t>
      <w:tab/>
      <w:t>Excellence</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61.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Form 000-469-E(7/92)</w:t>
      <w:tab/>
      <w:t>rab/word/sig_events/sig_082099.doc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900"/>
        </w:tabs>
        <w:ind w:start="900" w:hanging="36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900"/>
        </w:tabs>
        <w:ind w:start="900" w:hanging="360"/>
      </w:pPr>
      <w:rPr>
        <w:rFonts w:ascii="Liberation Serif" w:hAnsi="Liberation Serif" w:cs="Liberation Serif"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numFmt w:val="bullet"/>
      <w:lvlText w:val="-"/>
      <w:lvlJc w:val="start"/>
      <w:pPr>
        <w:tabs>
          <w:tab w:val="num" w:pos="900"/>
        </w:tabs>
        <w:ind w:start="900"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color w:val="000000"/>
      <w:sz w:val="20"/>
      <w:u w:val="single"/>
    </w:rPr>
  </w:style>
  <w:style w:type="paragraph" w:styleId="Heading2">
    <w:name w:val="heading 2"/>
    <w:basedOn w:val="Normal"/>
    <w:next w:val="Normal"/>
    <w:qFormat/>
    <w:pPr>
      <w:keepNext w:val="true"/>
      <w:numPr>
        <w:ilvl w:val="1"/>
        <w:numId w:val="1"/>
      </w:numPr>
      <w:tabs>
        <w:tab w:val="clear" w:pos="540"/>
      </w:tabs>
      <w:spacing w:lineRule="atLeast" w:line="240"/>
      <w:outlineLvl w:val="1"/>
    </w:pPr>
    <w:rPr>
      <w:rFonts w:ascii="Helv;Arial" w:hAnsi="Helv;Arial" w:cs="Helv;Arial"/>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spacing w:before="60" w:after="60"/>
      <w:outlineLvl w:val="3"/>
    </w:pPr>
    <w:rPr>
      <w:sz w:val="20"/>
      <w:u w:val="single"/>
    </w:rPr>
  </w:style>
  <w:style w:type="paragraph" w:styleId="Heading5">
    <w:name w:val="heading 5"/>
    <w:basedOn w:val="Normal"/>
    <w:next w:val="Normal"/>
    <w:qFormat/>
    <w:pPr>
      <w:keepNext w:val="true"/>
      <w:numPr>
        <w:ilvl w:val="4"/>
        <w:numId w:val="1"/>
      </w:numPr>
      <w:tabs>
        <w:tab w:val="clear" w:pos="540"/>
      </w:tabs>
      <w:spacing w:lineRule="atLeast" w:line="240"/>
      <w:outlineLvl w:val="4"/>
    </w:pPr>
    <w:rPr>
      <w:rFonts w:ascii="Helv;Arial" w:hAnsi="Helv;Arial" w:cs="Helv;Arial"/>
      <w:i/>
      <w:sz w:val="20"/>
    </w:rPr>
  </w:style>
  <w:style w:type="paragraph" w:styleId="Heading6">
    <w:name w:val="heading 6"/>
    <w:basedOn w:val="Normal"/>
    <w:next w:val="Normal"/>
    <w:qFormat/>
    <w:pPr>
      <w:keepNext w:val="true"/>
      <w:numPr>
        <w:ilvl w:val="5"/>
        <w:numId w:val="1"/>
      </w:numPr>
      <w:jc w:val="both"/>
      <w:outlineLvl w:val="5"/>
    </w:pPr>
    <w:rPr>
      <w:b/>
    </w:rPr>
  </w:style>
  <w:style w:type="character" w:styleId="WW8Num1z0">
    <w:name w:val="WW8Num1z0"/>
    <w:qFormat/>
    <w:rPr>
      <w:rFonts w:ascii="Symbol" w:hAnsi="Symbol" w:cs="Symbol"/>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Times New Roman" w:hAnsi="Times New Roman" w:cs="Times New Roman"/>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Times New Roman" w:hAnsi="Times New Roman" w:cs="Times New Roman"/>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color w:val="auto"/>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color w:val="auto"/>
    </w:rPr>
  </w:style>
  <w:style w:type="character" w:styleId="WW8Num74z0">
    <w:name w:val="WW8Num74z0"/>
    <w:qFormat/>
    <w:rPr>
      <w:rFonts w:ascii="Symbol" w:hAnsi="Symbol" w:cs="Symbol"/>
    </w:rPr>
  </w:style>
  <w:style w:type="character" w:styleId="WW8Num75z0">
    <w:name w:val="WW8Num75z0"/>
    <w:qFormat/>
    <w:rPr>
      <w:rFonts w:ascii="Symbol" w:hAnsi="Symbol" w:cs="Symbol"/>
      <w:color w:val="auto"/>
    </w:rPr>
  </w:style>
  <w:style w:type="character" w:styleId="WW8Num76z0">
    <w:name w:val="WW8Num76z0"/>
    <w:qFormat/>
    <w:rPr>
      <w:rFonts w:ascii="Symbol" w:hAnsi="Symbol" w:cs="Symbol"/>
      <w:color w:val="auto"/>
    </w:rPr>
  </w:style>
  <w:style w:type="character" w:styleId="WW8Num77z0">
    <w:name w:val="WW8Num77z0"/>
    <w:qFormat/>
    <w:rPr>
      <w:rFonts w:ascii="Symbol" w:hAnsi="Symbol" w:cs="Symbol"/>
      <w:color w:val="auto"/>
    </w:rPr>
  </w:style>
  <w:style w:type="character" w:styleId="WW8Num78z0">
    <w:name w:val="WW8Num78z0"/>
    <w:qFormat/>
    <w:rPr>
      <w:rFonts w:ascii="Times New Roman" w:hAnsi="Times New Roman" w:cs="Times New Roman"/>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color w:val="auto"/>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Times New Roman" w:hAnsi="Times New Roman" w:cs="Times New Roman"/>
    </w:rPr>
  </w:style>
  <w:style w:type="character" w:styleId="WW8Num97z0">
    <w:name w:val="WW8Num97z0"/>
    <w:qFormat/>
    <w:rPr>
      <w:rFonts w:ascii="Symbol" w:hAnsi="Symbol" w:cs="Symbol"/>
      <w:color w:val="auto"/>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color w:val="auto"/>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Wingdings" w:hAnsi="Wingdings" w:cs="Wingdings"/>
      <w:sz w:val="40"/>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color w:val="auto"/>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rPr>
  </w:style>
  <w:style w:type="character" w:styleId="WW8Num155z0">
    <w:name w:val="WW8Num155z0"/>
    <w:qFormat/>
    <w:rPr>
      <w:rFonts w:ascii="Symbol" w:hAnsi="Symbol" w:cs="Symbol"/>
    </w:rPr>
  </w:style>
  <w:style w:type="character" w:styleId="WW8Num156z0">
    <w:name w:val="WW8Num156z0"/>
    <w:qFormat/>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Times New Roman" w:hAnsi="Times New Roman" w:cs="Times New Roman"/>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tabs>
        <w:tab w:val="clear" w:pos="540"/>
      </w:tabs>
      <w:spacing w:before="60" w:after="60"/>
      <w:ind w:hanging="360" w:start="360" w:end="0"/>
    </w:pPr>
    <w:rPr>
      <w:rFonts w:ascii="Times New Roman" w:hAnsi="Times New Roman" w:cs="Times New Roman"/>
      <w:sz w:val="20"/>
    </w:rPr>
  </w:style>
  <w:style w:type="paragraph" w:styleId="BodyTextIndent3">
    <w:name w:val="Body Text Indent 3"/>
    <w:basedOn w:val="Normal"/>
    <w:qFormat/>
    <w:pPr>
      <w:tabs>
        <w:tab w:val="clear" w:pos="540"/>
      </w:tabs>
      <w:ind w:hanging="0" w:start="360" w:end="0"/>
      <w:jc w:val="both"/>
    </w:pPr>
    <w:rPr>
      <w:rFonts w:ascii="Helv;Arial" w:hAnsi="Helv;Arial" w:cs="Helv;Arial"/>
      <w:color w:val="000000"/>
      <w:lang w:eastAsia="es-ES"/>
    </w:rPr>
  </w:style>
  <w:style w:type="paragraph" w:styleId="BodyTextIndent">
    <w:name w:val="Body Text Indent"/>
    <w:basedOn w:val="Normal"/>
    <w:pPr>
      <w:tabs>
        <w:tab w:val="clear" w:pos="540"/>
        <w:tab w:val="left" w:pos="720" w:leader="none"/>
      </w:tabs>
      <w:spacing w:lineRule="atLeast" w:line="240"/>
      <w:ind w:hanging="360" w:start="720" w:end="0"/>
    </w:pPr>
    <w:rPr>
      <w:rFonts w:ascii="Bookman Old Style" w:hAnsi="Bookman Old Style" w:cs="Bookman Old Style"/>
      <w:color w:val="000000"/>
    </w:rPr>
  </w:style>
  <w:style w:type="paragraph" w:styleId="BodyText2">
    <w:name w:val="Body Text 2"/>
    <w:basedOn w:val="Normal"/>
    <w:qFormat/>
    <w:pPr>
      <w:tabs>
        <w:tab w:val="clear" w:pos="540"/>
      </w:tabs>
      <w:spacing w:lineRule="atLeast" w:line="240"/>
    </w:pPr>
    <w:rPr>
      <w:rFonts w:ascii="Bookman Old Style" w:hAnsi="Bookman Old Style" w:cs="Bookman Old Style"/>
      <w:color w:val="FF0000"/>
    </w:rPr>
  </w:style>
  <w:style w:type="paragraph" w:styleId="BodyTextIndent2">
    <w:name w:val="Body Text Indent 2"/>
    <w:basedOn w:val="Normal"/>
    <w:qFormat/>
    <w:pPr>
      <w:tabs>
        <w:tab w:val="clear" w:pos="540"/>
      </w:tabs>
      <w:spacing w:lineRule="atLeast" w:line="240"/>
      <w:ind w:hanging="0" w:start="720" w:end="0"/>
    </w:pPr>
    <w:rPr>
      <w:rFonts w:ascii="Bookman Old Style" w:hAnsi="Bookman Old Style" w:cs="Bookman Old Style"/>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2000-12-28T00:43:00Z</dcterms:created>
  <dc:creator>Rubena Buerger</dc:creator>
  <dc:description/>
  <dc:language>en-CA</dc:language>
  <cp:lastModifiedBy>Enron Technology</cp:lastModifiedBy>
  <cp:lastPrinted>2000-08-25T18:12:00Z</cp:lastPrinted>
  <dcterms:modified xsi:type="dcterms:W3CDTF">2000-12-28T02:56:00Z</dcterms:modified>
  <cp:revision>7</cp:revision>
  <dc:subject/>
  <dc:title>Better, Faster, Simpler Memo </dc:title>
</cp:coreProperties>
</file>