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MAJOR ACCOMPLISHMENTS OF JOSEPH HARTSOE:   JANUARY – JUNE, 2000</w:t>
      </w:r>
    </w:p>
    <w:p>
      <w:pPr>
        <w:pStyle w:val="Normal"/>
        <w:rPr>
          <w:sz w:val="24"/>
        </w:rPr>
      </w:pPr>
      <w:r>
        <w:rPr>
          <w:sz w:val="24"/>
        </w:rPr>
      </w:r>
    </w:p>
    <w:p>
      <w:pPr>
        <w:pStyle w:val="Normal"/>
        <w:rPr>
          <w:sz w:val="24"/>
        </w:rPr>
      </w:pPr>
      <w:r>
        <w:rPr>
          <w:sz w:val="24"/>
        </w:rPr>
      </w:r>
    </w:p>
    <w:p>
      <w:pPr>
        <w:pStyle w:val="Normal"/>
        <w:numPr>
          <w:ilvl w:val="0"/>
          <w:numId w:val="1"/>
        </w:numPr>
        <w:rPr>
          <w:sz w:val="24"/>
        </w:rPr>
      </w:pPr>
      <w:r>
        <w:rPr>
          <w:sz w:val="24"/>
        </w:rPr>
        <w:t>Enlisted the Electric Power Supply Association (EPSA) as a spokesperson/surrogate for Enron by successfully integrating Enron’s core positions into EPSA’s advocacy.</w:t>
      </w:r>
    </w:p>
    <w:p>
      <w:pPr>
        <w:pStyle w:val="Normal"/>
        <w:rPr>
          <w:sz w:val="24"/>
        </w:rPr>
      </w:pPr>
      <w:r>
        <w:rPr>
          <w:sz w:val="24"/>
        </w:rPr>
      </w:r>
    </w:p>
    <w:p>
      <w:pPr>
        <w:pStyle w:val="Normal"/>
        <w:numPr>
          <w:ilvl w:val="0"/>
          <w:numId w:val="1"/>
        </w:numPr>
        <w:tabs>
          <w:tab w:val="left" w:pos="720" w:leader="none"/>
        </w:tabs>
        <w:ind w:hanging="360" w:start="720" w:end="0"/>
        <w:rPr>
          <w:sz w:val="24"/>
        </w:rPr>
      </w:pPr>
      <w:r>
        <w:rPr>
          <w:sz w:val="24"/>
        </w:rPr>
        <w:t>This served the triple purposes of 1) strengthening the message to regulators and the industry through unified numbers;  2) preventing Enron from being marginalized as a radical opportunist whose positions are outside the mainstream of the Electric Industry; and 3) reducing Enron’s advocacy costs.</w:t>
      </w:r>
    </w:p>
    <w:p>
      <w:pPr>
        <w:pStyle w:val="Normal"/>
        <w:rPr>
          <w:sz w:val="24"/>
        </w:rPr>
      </w:pPr>
      <w:r>
        <w:rPr>
          <w:sz w:val="24"/>
        </w:rPr>
      </w:r>
    </w:p>
    <w:p>
      <w:pPr>
        <w:pStyle w:val="Normal"/>
        <w:numPr>
          <w:ilvl w:val="0"/>
          <w:numId w:val="8"/>
        </w:numPr>
        <w:tabs>
          <w:tab w:val="left" w:pos="720" w:leader="none"/>
        </w:tabs>
        <w:ind w:hanging="360" w:start="720" w:end="0"/>
        <w:rPr>
          <w:sz w:val="24"/>
        </w:rPr>
      </w:pPr>
      <w:r>
        <w:rPr>
          <w:sz w:val="24"/>
        </w:rPr>
        <w:t>Serve as Chairman of the Marketers Subcommittee and will become Chairman of the Regulatory Affairs Committee in 2001.  Major accomplishments include:</w:t>
      </w:r>
    </w:p>
    <w:p>
      <w:pPr>
        <w:pStyle w:val="Normal"/>
        <w:rPr>
          <w:sz w:val="24"/>
        </w:rPr>
      </w:pPr>
      <w:r>
        <w:rPr>
          <w:sz w:val="24"/>
        </w:rPr>
      </w:r>
    </w:p>
    <w:p>
      <w:pPr>
        <w:pStyle w:val="Normal"/>
        <w:numPr>
          <w:ilvl w:val="0"/>
          <w:numId w:val="2"/>
        </w:numPr>
        <w:tabs>
          <w:tab w:val="clear" w:pos="720"/>
          <w:tab w:val="left" w:pos="1080" w:leader="none"/>
        </w:tabs>
        <w:ind w:hanging="360" w:start="1080" w:end="0"/>
        <w:rPr>
          <w:sz w:val="24"/>
        </w:rPr>
      </w:pPr>
      <w:r>
        <w:rPr>
          <w:sz w:val="24"/>
        </w:rPr>
        <w:t>Publication of a White Paper concluding that Regional Transmission Organizations (RTOs) should run transmissions systems not markets, and that the imposition of price caps on potentially competitive markets only 1) aggravates the underlying fundamental problems in those markets, 2) postpones the ultimate implementation of true competitive markets and 3) increases volatility during the transition.</w:t>
      </w:r>
    </w:p>
    <w:p>
      <w:pPr>
        <w:pStyle w:val="Normal"/>
        <w:rPr>
          <w:sz w:val="24"/>
        </w:rPr>
      </w:pPr>
      <w:r>
        <w:rPr>
          <w:sz w:val="24"/>
        </w:rPr>
      </w:r>
    </w:p>
    <w:p>
      <w:pPr>
        <w:pStyle w:val="Normal"/>
        <w:numPr>
          <w:ilvl w:val="0"/>
          <w:numId w:val="3"/>
        </w:numPr>
        <w:tabs>
          <w:tab w:val="clear" w:pos="720"/>
          <w:tab w:val="left" w:pos="1080" w:leader="none"/>
        </w:tabs>
        <w:ind w:hanging="360" w:start="1080" w:end="0"/>
        <w:rPr>
          <w:sz w:val="24"/>
        </w:rPr>
      </w:pPr>
      <w:r>
        <w:rPr>
          <w:sz w:val="24"/>
        </w:rPr>
        <w:t>Orders by the Federal Energy Regulatory Commission (Commission) establishing and refining the appropriate generation interconnection policies and procedures.</w:t>
      </w:r>
    </w:p>
    <w:p>
      <w:pPr>
        <w:pStyle w:val="Normal"/>
        <w:rPr>
          <w:sz w:val="24"/>
        </w:rPr>
      </w:pPr>
      <w:r>
        <w:rPr>
          <w:sz w:val="24"/>
        </w:rPr>
      </w:r>
    </w:p>
    <w:p>
      <w:pPr>
        <w:pStyle w:val="Normal"/>
        <w:numPr>
          <w:ilvl w:val="0"/>
          <w:numId w:val="6"/>
        </w:numPr>
        <w:tabs>
          <w:tab w:val="clear" w:pos="720"/>
          <w:tab w:val="left" w:pos="1080" w:leader="none"/>
        </w:tabs>
        <w:ind w:hanging="360" w:start="1080" w:end="0"/>
        <w:rPr>
          <w:sz w:val="24"/>
        </w:rPr>
      </w:pPr>
      <w:r>
        <w:rPr>
          <w:sz w:val="24"/>
        </w:rPr>
        <w:t>Numerous pleadings and meetings with Commission staff, Commissioners and their staffs on the many Federal issues important to Enron, including the abolition of the Native Load Exemption, separation of energy markets from transmission operations, and abolition of any requirement to identify source and sink information at the time transmission is purchased.</w:t>
      </w:r>
    </w:p>
    <w:p>
      <w:pPr>
        <w:pStyle w:val="Normal"/>
        <w:rPr>
          <w:sz w:val="24"/>
        </w:rPr>
      </w:pPr>
      <w:r>
        <w:rPr>
          <w:sz w:val="24"/>
        </w:rPr>
      </w:r>
    </w:p>
    <w:p>
      <w:pPr>
        <w:pStyle w:val="Normal"/>
        <w:numPr>
          <w:ilvl w:val="0"/>
          <w:numId w:val="11"/>
        </w:numPr>
        <w:rPr>
          <w:sz w:val="24"/>
        </w:rPr>
      </w:pPr>
      <w:r>
        <w:rPr>
          <w:sz w:val="24"/>
        </w:rPr>
        <w:t>Implemented a successful campaign to change Legislators’, regulators’ and Electric Industries’ perceptions to reinforce and accept the fact that incumbent utilities use transmission as a strategic asset and that the current open-access rules invite incumbent utilities to profit by denying Enron and others access to the grid.</w:t>
      </w:r>
    </w:p>
    <w:p>
      <w:pPr>
        <w:pStyle w:val="Normal"/>
        <w:rPr>
          <w:sz w:val="24"/>
        </w:rPr>
      </w:pPr>
      <w:r>
        <w:rPr>
          <w:sz w:val="24"/>
        </w:rPr>
      </w:r>
    </w:p>
    <w:p>
      <w:pPr>
        <w:pStyle w:val="Normal"/>
        <w:numPr>
          <w:ilvl w:val="0"/>
          <w:numId w:val="4"/>
        </w:numPr>
        <w:tabs>
          <w:tab w:val="left" w:pos="720" w:leader="none"/>
        </w:tabs>
        <w:ind w:hanging="360" w:start="720" w:end="0"/>
        <w:rPr>
          <w:sz w:val="24"/>
        </w:rPr>
      </w:pPr>
      <w:r>
        <w:rPr>
          <w:sz w:val="24"/>
        </w:rPr>
        <w:t>An outside consultant, Richard Tabors, published and lectures on his article:  "Stretching the Rules for Fun and Profit."  His work was commissioned by Enron, but was presented on behalf of numerous Marketers in the Industry.  The results have been thoroughly accepted by Commission staff and the Hill, and are cited back to Enron personnel as excellent work that must be read to understand the Industry, and generated a tremendous amount of free press.</w:t>
      </w:r>
    </w:p>
    <w:p>
      <w:pPr>
        <w:pStyle w:val="Normal"/>
        <w:rPr>
          <w:sz w:val="24"/>
        </w:rPr>
      </w:pPr>
      <w:r>
        <w:rPr>
          <w:sz w:val="24"/>
        </w:rPr>
      </w:r>
    </w:p>
    <w:p>
      <w:pPr>
        <w:pStyle w:val="Normal"/>
        <w:numPr>
          <w:ilvl w:val="0"/>
          <w:numId w:val="10"/>
        </w:numPr>
        <w:tabs>
          <w:tab w:val="left" w:pos="720" w:leader="none"/>
        </w:tabs>
        <w:ind w:hanging="360" w:start="720" w:end="0"/>
        <w:rPr>
          <w:sz w:val="24"/>
        </w:rPr>
      </w:pPr>
      <w:r>
        <w:rPr>
          <w:sz w:val="24"/>
        </w:rPr>
        <w:t xml:space="preserve">Tabors' article documents that: </w:t>
      </w:r>
    </w:p>
    <w:p>
      <w:pPr>
        <w:pStyle w:val="Normal"/>
        <w:rPr>
          <w:sz w:val="24"/>
        </w:rPr>
      </w:pPr>
      <w:r>
        <w:rPr>
          <w:sz w:val="24"/>
        </w:rPr>
      </w:r>
    </w:p>
    <w:p>
      <w:pPr>
        <w:pStyle w:val="Normal"/>
        <w:numPr>
          <w:ilvl w:val="0"/>
          <w:numId w:val="5"/>
        </w:numPr>
        <w:tabs>
          <w:tab w:val="clear" w:pos="720"/>
          <w:tab w:val="left" w:pos="1080" w:leader="none"/>
        </w:tabs>
        <w:ind w:hanging="360" w:start="1080" w:end="0"/>
        <w:rPr>
          <w:sz w:val="24"/>
        </w:rPr>
      </w:pPr>
      <w:r>
        <w:rPr>
          <w:sz w:val="24"/>
        </w:rPr>
        <w:t>The electronic bulletin boards available to purchase and monitor electric transmission are inadequate:</w:t>
      </w:r>
    </w:p>
    <w:p>
      <w:pPr>
        <w:pStyle w:val="Normal"/>
        <w:rPr>
          <w:sz w:val="24"/>
        </w:rPr>
      </w:pPr>
      <w:r>
        <w:rPr>
          <w:sz w:val="24"/>
        </w:rPr>
      </w:r>
    </w:p>
    <w:p>
      <w:pPr>
        <w:pStyle w:val="Normal"/>
        <w:numPr>
          <w:ilvl w:val="0"/>
          <w:numId w:val="7"/>
        </w:numPr>
        <w:tabs>
          <w:tab w:val="clear" w:pos="720"/>
          <w:tab w:val="left" w:pos="1080" w:leader="none"/>
        </w:tabs>
        <w:ind w:hanging="360" w:start="1080" w:end="0"/>
        <w:rPr>
          <w:sz w:val="24"/>
        </w:rPr>
      </w:pPr>
      <w:r>
        <w:rPr>
          <w:sz w:val="24"/>
        </w:rPr>
        <w:t>Security Coordinators have significant discretion in excepting their own and affiliates' transactions from the transmission loading relief rules of NERC:</w:t>
      </w:r>
    </w:p>
    <w:p>
      <w:pPr>
        <w:pStyle w:val="Normal"/>
        <w:rPr>
          <w:sz w:val="24"/>
        </w:rPr>
      </w:pPr>
      <w:r>
        <w:rPr>
          <w:sz w:val="24"/>
        </w:rPr>
      </w:r>
    </w:p>
    <w:p>
      <w:pPr>
        <w:pStyle w:val="Normal"/>
        <w:numPr>
          <w:ilvl w:val="0"/>
          <w:numId w:val="7"/>
        </w:numPr>
        <w:tabs>
          <w:tab w:val="clear" w:pos="720"/>
          <w:tab w:val="left" w:pos="1080" w:leader="none"/>
        </w:tabs>
        <w:ind w:hanging="360" w:start="1080" w:end="0"/>
        <w:rPr>
          <w:sz w:val="24"/>
        </w:rPr>
      </w:pPr>
      <w:r>
        <w:rPr>
          <w:sz w:val="24"/>
        </w:rPr>
        <w:t>Transmission uses that are bundled with vertically integrated utility sales to captive native load customers are exempt from both the Commission's tariff load and posting OASIS requirements:</w:t>
      </w:r>
    </w:p>
    <w:p>
      <w:pPr>
        <w:pStyle w:val="Normal"/>
        <w:rPr>
          <w:sz w:val="24"/>
        </w:rPr>
      </w:pPr>
      <w:r>
        <w:rPr>
          <w:sz w:val="24"/>
        </w:rPr>
      </w:r>
    </w:p>
    <w:p>
      <w:pPr>
        <w:pStyle w:val="Normal"/>
        <w:numPr>
          <w:ilvl w:val="0"/>
          <w:numId w:val="7"/>
        </w:numPr>
        <w:tabs>
          <w:tab w:val="clear" w:pos="720"/>
          <w:tab w:val="left" w:pos="1080" w:leader="none"/>
        </w:tabs>
        <w:ind w:hanging="360" w:start="1080" w:end="0"/>
        <w:rPr>
          <w:sz w:val="24"/>
        </w:rPr>
      </w:pPr>
      <w:r>
        <w:rPr>
          <w:sz w:val="24"/>
        </w:rPr>
        <w:t>There are no limitations on the authority of Transmission Providers to withhold inter-area transmission capacity without payment, and deny competitors access to this capacity:</w:t>
      </w:r>
    </w:p>
    <w:p>
      <w:pPr>
        <w:pStyle w:val="Normal"/>
        <w:rPr>
          <w:sz w:val="24"/>
        </w:rPr>
      </w:pPr>
      <w:r>
        <w:rPr>
          <w:sz w:val="24"/>
        </w:rPr>
      </w:r>
    </w:p>
    <w:p>
      <w:pPr>
        <w:pStyle w:val="Normal"/>
        <w:numPr>
          <w:ilvl w:val="0"/>
          <w:numId w:val="7"/>
        </w:numPr>
        <w:tabs>
          <w:tab w:val="clear" w:pos="720"/>
          <w:tab w:val="left" w:pos="1080" w:leader="none"/>
        </w:tabs>
        <w:ind w:hanging="360" w:start="1080" w:end="0"/>
        <w:rPr>
          <w:sz w:val="24"/>
        </w:rPr>
      </w:pPr>
      <w:r>
        <w:rPr>
          <w:sz w:val="24"/>
        </w:rPr>
        <w:t>Detecting abuses and violations of the nondiscrimination and comparable service requirements of both the OATT and OASIS is prohibitively time consuming and costly.</w:t>
      </w:r>
    </w:p>
    <w:p>
      <w:pPr>
        <w:pStyle w:val="Normal"/>
        <w:rPr>
          <w:sz w:val="24"/>
        </w:rPr>
      </w:pPr>
      <w:r>
        <w:rPr>
          <w:sz w:val="24"/>
        </w:rPr>
      </w:r>
    </w:p>
    <w:p>
      <w:pPr>
        <w:pStyle w:val="Normal"/>
        <w:numPr>
          <w:ilvl w:val="0"/>
          <w:numId w:val="9"/>
        </w:numPr>
        <w:rPr>
          <w:sz w:val="24"/>
        </w:rPr>
      </w:pPr>
      <w:r>
        <w:rPr>
          <w:sz w:val="24"/>
        </w:rPr>
        <w:t>Successfully completed the first step in the appeal of the Commission’s  Order No. 888.  In response to Enron’s appeal before the District of Columbia Circuit, the court agreed with Enron that the Commission has jurisdiction over all electric transmission in interstate commerce.</w:t>
      </w:r>
    </w:p>
    <w:p>
      <w:pPr>
        <w:pStyle w:val="Normal"/>
        <w:rPr>
          <w:sz w:val="24"/>
        </w:rPr>
      </w:pPr>
      <w:r>
        <w:rPr>
          <w:sz w:val="24"/>
        </w:rPr>
      </w:r>
    </w:p>
    <w:p>
      <w:pPr>
        <w:pStyle w:val="Normal"/>
        <w:numPr>
          <w:ilvl w:val="0"/>
          <w:numId w:val="9"/>
        </w:numPr>
        <w:tabs>
          <w:tab w:val="left" w:pos="720" w:leader="none"/>
        </w:tabs>
        <w:ind w:hanging="360" w:start="720" w:end="0"/>
        <w:rPr>
          <w:sz w:val="24"/>
        </w:rPr>
      </w:pPr>
      <w:r>
        <w:rPr>
          <w:sz w:val="24"/>
        </w:rPr>
        <w:t>In this case, the court in essence rejects the Commission’s finding that it lacks the authority to directly regulate the transmission component of bundled retail sales by stating that FERC can exercise jurisdiction, if it so chooses.  As a result, the court’s holding sets the stage for the Commission to exercise its authority to place all uses of the interstate grid under the same rates, terms and conditions of the same tariff.</w:t>
      </w:r>
    </w:p>
    <w:p>
      <w:pPr>
        <w:pStyle w:val="Normal"/>
        <w:rPr>
          <w:sz w:val="24"/>
        </w:rPr>
      </w:pPr>
      <w:r>
        <w:rPr>
          <w:sz w:val="24"/>
        </w:rPr>
      </w:r>
    </w:p>
    <w:p>
      <w:pPr>
        <w:pStyle w:val="Normal"/>
        <w:numPr>
          <w:ilvl w:val="0"/>
          <w:numId w:val="9"/>
        </w:numPr>
        <w:tabs>
          <w:tab w:val="left" w:pos="720" w:leader="none"/>
        </w:tabs>
        <w:ind w:hanging="360" w:start="720" w:end="0"/>
        <w:rPr>
          <w:sz w:val="24"/>
        </w:rPr>
      </w:pPr>
      <w:r>
        <w:rPr>
          <w:sz w:val="24"/>
        </w:rPr>
        <w:t>This holding also permits congressional staff to reject attempts to codify any exclusive state jurisdiction over the transmission component of bundled retail sales as repealing existing law.</w:t>
      </w:r>
    </w:p>
    <w:p>
      <w:pPr>
        <w:pStyle w:val="Normal"/>
        <w:rPr>
          <w:sz w:val="24"/>
        </w:rPr>
      </w:pPr>
      <w:r>
        <w:rPr>
          <w:sz w:val="24"/>
        </w:rPr>
      </w:r>
    </w:p>
    <w:p>
      <w:pPr>
        <w:pStyle w:val="Normal"/>
        <w:numPr>
          <w:ilvl w:val="0"/>
          <w:numId w:val="9"/>
        </w:numPr>
        <w:rPr>
          <w:sz w:val="24"/>
        </w:rPr>
      </w:pPr>
      <w:r>
        <w:rPr>
          <w:sz w:val="24"/>
        </w:rPr>
        <w:t xml:space="preserve">Worked with a coalition of stakeholders to negotiate and finalize Reliability Legislation that was passed by the Senate and provides a vehicle to pass Comprehensive Electric Industry Legislation this year. </w:t>
      </w:r>
    </w:p>
    <w:p>
      <w:pPr>
        <w:pStyle w:val="Normal"/>
        <w:rPr>
          <w:sz w:val="24"/>
        </w:rPr>
      </w:pPr>
      <w:r>
        <w:rPr>
          <w:sz w:val="24"/>
        </w:rPr>
      </w:r>
    </w:p>
    <w:p>
      <w:pPr>
        <w:pStyle w:val="Normal"/>
        <w:numPr>
          <w:ilvl w:val="0"/>
          <w:numId w:val="9"/>
        </w:numPr>
        <w:rPr>
          <w:sz w:val="24"/>
        </w:rPr>
      </w:pPr>
      <w:r>
        <w:rPr>
          <w:sz w:val="24"/>
        </w:rPr>
        <w:t>Successfully advocated positions before the Commission including:</w:t>
      </w:r>
    </w:p>
    <w:p>
      <w:pPr>
        <w:pStyle w:val="Normal"/>
        <w:rPr>
          <w:sz w:val="24"/>
        </w:rPr>
      </w:pPr>
      <w:r>
        <w:rPr>
          <w:sz w:val="24"/>
        </w:rPr>
      </w:r>
    </w:p>
    <w:p>
      <w:pPr>
        <w:pStyle w:val="Normal"/>
        <w:numPr>
          <w:ilvl w:val="0"/>
          <w:numId w:val="9"/>
        </w:numPr>
        <w:tabs>
          <w:tab w:val="left" w:pos="720" w:leader="none"/>
        </w:tabs>
        <w:ind w:hanging="360" w:start="720" w:end="0"/>
        <w:rPr>
          <w:sz w:val="24"/>
        </w:rPr>
      </w:pPr>
      <w:r>
        <w:rPr>
          <w:sz w:val="24"/>
        </w:rPr>
        <w:t>Conditioning the merger of American Electric Power Company (AEP) on AEP’s using an independent third party to establish available transmission capability, and establish an independent market monitor.</w:t>
      </w:r>
    </w:p>
    <w:p>
      <w:pPr>
        <w:pStyle w:val="Normal"/>
        <w:rPr>
          <w:sz w:val="24"/>
        </w:rPr>
      </w:pPr>
      <w:r>
        <w:rPr>
          <w:sz w:val="24"/>
        </w:rPr>
      </w:r>
    </w:p>
    <w:p>
      <w:pPr>
        <w:pStyle w:val="Normal"/>
        <w:numPr>
          <w:ilvl w:val="0"/>
          <w:numId w:val="9"/>
        </w:numPr>
        <w:tabs>
          <w:tab w:val="left" w:pos="720" w:leader="none"/>
        </w:tabs>
        <w:ind w:hanging="360" w:start="720" w:end="0"/>
        <w:rPr>
          <w:sz w:val="24"/>
        </w:rPr>
      </w:pPr>
      <w:r>
        <w:rPr>
          <w:sz w:val="24"/>
        </w:rPr>
        <w:t>Issuance of a Notice of Proposed Rulemaking to revamp the method for calculating the Commission’s Annual Charges.</w:t>
      </w:r>
    </w:p>
    <w:p>
      <w:pPr>
        <w:pStyle w:val="Normal"/>
        <w:rPr>
          <w:sz w:val="24"/>
        </w:rPr>
      </w:pPr>
      <w:r>
        <w:rPr>
          <w:sz w:val="24"/>
        </w:rPr>
      </w:r>
    </w:p>
    <w:p>
      <w:pPr>
        <w:pStyle w:val="Normal"/>
        <w:numPr>
          <w:ilvl w:val="0"/>
          <w:numId w:val="9"/>
        </w:numPr>
        <w:rPr>
          <w:sz w:val="24"/>
        </w:rPr>
      </w:pPr>
      <w:r>
        <w:rPr>
          <w:sz w:val="24"/>
        </w:rPr>
        <w:t>Successfully persuaded the North America Electric Reliability Council (NERC) to adopt numerous Enron positions, including the requirement that Security Coordinators be independent from utility operations and sign standards of conduct; and a filing by NERC with the Commission that provides a method for determining the Native Load’s contribution to transmission loading problems.</w:t>
      </w:r>
    </w:p>
    <w:p>
      <w:pPr>
        <w:pStyle w:val="Normal"/>
        <w:rPr>
          <w:sz w:val="24"/>
        </w:rPr>
      </w:pPr>
      <w:r>
        <w:rPr>
          <w:sz w:val="24"/>
        </w:rPr>
      </w:r>
    </w:p>
    <w:p>
      <w:pPr>
        <w:pStyle w:val="Normal"/>
        <w:numPr>
          <w:ilvl w:val="0"/>
          <w:numId w:val="9"/>
        </w:numPr>
        <w:rPr>
          <w:sz w:val="24"/>
        </w:rPr>
      </w:pPr>
      <w:r>
        <w:rPr>
          <w:sz w:val="24"/>
        </w:rPr>
        <w:t>Supported numerous transactions by Enron North America and others especially during this hot summer, including interconnections of generation, and accreditation of capacity.</w:t>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2000-07-21T07:37:00Z</dcterms:created>
  <dc:creator>Compaq</dc:creator>
  <dc:description/>
  <dc:language>en-CA</dc:language>
  <cp:lastModifiedBy>bhawkin</cp:lastModifiedBy>
  <cp:lastPrinted>2000-07-21T11:40:00Z</cp:lastPrinted>
  <dcterms:modified xsi:type="dcterms:W3CDTF">2000-07-21T17:08:00Z</dcterms:modified>
  <cp:revision>18</cp:revision>
  <dc:subject/>
  <dc:title>Enlisted the Electric Power Supply Association (EPSA) as a spokesperson/surrogate for Enron by successfully integrating Enron’s core positions into EPSA’s advocacy</dc:title>
</cp:coreProperties>
</file>