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nsideAddressName"/>
        <w:spacing w:before="0" w:after="0"/>
        <w:rPr>
          <w:b/>
          <w:sz w:val="24"/>
        </w:rPr>
      </w:pPr>
      <w:r>
        <w:rPr>
          <w:b/>
          <w:sz w:val="24"/>
        </w:rPr>
        <w:t>2001 Accomplishments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567690</wp:posOffset>
                </wp:positionV>
                <wp:extent cx="2441575" cy="100584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0058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Agustín Pérez Miranda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2.25pt;height:79.2pt;mso-wrap-distance-left:9.35pt;mso-wrap-distance-right:9.35pt;mso-wrap-distance-top:9.35pt;mso-wrap-distance-bottom:9.35pt;margin-top:44.7pt;mso-position-vertical-relative:page;margin-left:0pt;mso-position-horizontal-relative:margin">
                <v:fill opacity="0f"/>
                <v:textbox inset="0in,0in,0in,0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Agustín Pérez Miranda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3">
                <wp:simplePos x="0" y="0"/>
                <wp:positionH relativeFrom="rightMargin">
                  <wp:posOffset>-2743200</wp:posOffset>
                </wp:positionH>
                <wp:positionV relativeFrom="page">
                  <wp:posOffset>613410</wp:posOffset>
                </wp:positionV>
                <wp:extent cx="2743200" cy="61277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12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ReturnAddres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48.25pt;mso-wrap-distance-left:9.35pt;mso-wrap-distance-right:9.35pt;mso-wrap-distance-top:9.35pt;mso-wrap-distance-bottom:9.35pt;margin-top:48.3pt;mso-position-vertical-relative:page;margin-left:-216pt;mso-position-horizontal-relative:text">
                <v:fill opacity="0f"/>
                <v:textbox inset="0in,0in,0in,0in">
                  <w:txbxContent>
                    <w:p>
                      <w:pPr>
                        <w:pStyle w:val="ReturnAddres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InsideAddressName"/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>At the beginning of this year Pemex launched a program to sell Natural Gas at fixed price for the next 3 years, leaving our bussines in a difficult situation. We developed new risk management products to unwind and modify the Pemex contract. We organize, within a week of the announcement of the program, 3 conferences, in the largest cities in Mexico, to propose the new products and ideas we have. We have great attendance to these conferences.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 xml:space="preserve">Our bussines in Mexico has grown considerably. One of the reasons is because the terms our customers hedges has grown from 6 months to 2 years.  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>Maintain and grow relations with existing industrial customers and; contact and create long-term relations with new customers. The bases of these relations are personal trust, quality of service of the Risk Management Team and Enron competitiveness.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>Continue to negociate the ISDA contracts with customers.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>Create awareness of the importance, among the Enron support groups, of putting special attention to the back-office, booking, invoicing, payment, legal and credit for Mexican customers, because for most of the customers this is their first commodity derivatives transaction.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>Improve and create relations with people from differnet groups in Enron, like legal, credit, back-office, confirmations, trade booking, trading and mid-marketing groups.</w:t>
      </w:r>
    </w:p>
    <w:p>
      <w:pPr>
        <w:pStyle w:val="InsideAddress"/>
        <w:rPr>
          <w:sz w:val="24"/>
        </w:rPr>
      </w:pPr>
      <w:r>
        <w:rPr>
          <w:sz w:val="24"/>
        </w:rPr>
      </w:r>
    </w:p>
    <w:p>
      <w:pPr>
        <w:pStyle w:val="InsideAddress"/>
        <w:rPr>
          <w:sz w:val="24"/>
        </w:rPr>
      </w:pPr>
      <w:r>
        <w:rPr>
          <w:sz w:val="24"/>
        </w:rPr>
        <w:t>Execution of most of the Financial Trades Enron de Mexico has closed.</w:t>
      </w:r>
    </w:p>
    <w:p>
      <w:pPr>
        <w:pStyle w:val="InsideAddress"/>
        <w:rPr>
          <w:sz w:val="24"/>
        </w:rPr>
      </w:pPr>
      <w:r>
        <w:rPr>
          <w:sz w:val="24"/>
        </w:rPr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96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 </w:t>
    </w: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ab/>
      <w:tab/>
    </w:r>
    <w:r>
      <w:rPr/>
      <w:fldChar w:fldCharType="begin"/>
    </w:r>
    <w:r>
      <w:rPr/>
      <w:instrText xml:space="preserve"> DATE \@"MMMM\ d', '" </w:instrText>
    </w:r>
    <w:r>
      <w:rPr/>
      <w:fldChar w:fldCharType="separate"/>
    </w:r>
    <w:r>
      <w:rPr/>
      <w:t>長月 28, 日曜日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220"/>
      <w:jc w:val="start"/>
      <w:outlineLvl w:val="0"/>
    </w:pPr>
    <w:rPr/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jc w:val="star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rFonts w:ascii="Arial" w:hAnsi="Arial" w:cs="Arial"/>
      <w:sz w:val="22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360" w:end="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720" w:end="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080" w:end="0"/>
      <w:outlineLvl w:val="5"/>
    </w:pPr>
    <w:rPr>
      <w:spacing w:val="-5"/>
      <w:sz w:val="18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rFonts w:ascii="Arial Black" w:hAnsi="Arial Black" w:cs="Arial Black"/>
      <w:sz w:val="18"/>
    </w:rPr>
  </w:style>
  <w:style w:type="character" w:styleId="Slogan">
    <w:name w:val="Slogan"/>
    <w:basedOn w:val="DefaultParagraphFont"/>
    <w:qFormat/>
    <w:rPr>
      <w:rFonts w:ascii="Arial Black" w:hAnsi="Arial Black" w:cs="Arial Black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/>
    </w:pPr>
    <w:rPr>
      <w:rFonts w:ascii="Arial Black" w:hAnsi="Arial Black" w:cs="Arial Black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20" w:before="220" w:after="220"/>
    </w:pPr>
    <w:rPr/>
  </w:style>
  <w:style w:type="paragraph" w:styleId="Salutation">
    <w:name w:val="Salutation"/>
    <w:basedOn w:val="Normal"/>
    <w:next w:val="SubjectLine"/>
    <w:qFormat/>
    <w:pPr>
      <w:spacing w:lineRule="atLeast" w:line="220" w:before="220" w:after="22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20"/>
      <w:ind w:hanging="360" w:start="36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20" w:before="0" w:after="6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20" w:before="880" w:after="0"/>
      <w:jc w:val="start"/>
    </w:pPr>
    <w:rPr/>
  </w:style>
  <w:style w:type="paragraph" w:styleId="CompanyName">
    <w:name w:val="Company Name"/>
    <w:basedOn w:val="Normal"/>
    <w:qFormat/>
    <w:pPr>
      <w:spacing w:lineRule="atLeast" w:line="280"/>
    </w:pPr>
    <w:rPr>
      <w:rFonts w:ascii="Arial Black" w:hAnsi="Arial Black" w:cs="Arial Black"/>
      <w:spacing w:val="-25"/>
      <w:sz w:val="32"/>
    </w:rPr>
  </w:style>
  <w:style w:type="paragraph" w:styleId="Date">
    <w:name w:val="Date"/>
    <w:basedOn w:val="Normal"/>
    <w:next w:val="InsideAddressName"/>
    <w:qFormat/>
    <w:pPr>
      <w:spacing w:lineRule="atLeast" w:line="220" w:before="0" w:after="220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20" w:before="0" w:after="220"/>
    </w:pPr>
    <w:rPr/>
  </w:style>
  <w:style w:type="paragraph" w:styleId="InsideAddress">
    <w:name w:val="Inside Address"/>
    <w:basedOn w:val="Normal"/>
    <w:qFormat/>
    <w:pPr>
      <w:spacing w:lineRule="atLeast" w:line="22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spacing w:lineRule="atLeast" w:line="220" w:before="0" w:after="22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keepLines/>
      <w:spacing w:lineRule="atLeast" w:line="220" w:before="220" w:after="0"/>
    </w:pPr>
    <w:rPr/>
  </w:style>
  <w:style w:type="paragraph" w:styleId="ReferenceLine">
    <w:name w:val="Reference Line"/>
    <w:basedOn w:val="Normal"/>
    <w:next w:val="MailingInstructions"/>
    <w:qFormat/>
    <w:pPr>
      <w:spacing w:lineRule="atLeast" w:line="220" w:before="0" w:after="220"/>
      <w:jc w:val="start"/>
    </w:pPr>
    <w:rPr/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jc w:val="start"/>
    </w:pPr>
    <w:rPr>
      <w:spacing w:val="0"/>
      <w:sz w:val="14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20" w:before="0" w:after="220"/>
      <w:jc w:val="start"/>
    </w:pPr>
    <w:rPr>
      <w:rFonts w:ascii="Arial Black" w:hAnsi="Arial Black" w:cs="Arial Black"/>
      <w:spacing w:val="-1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spacing w:before="120" w:after="120"/>
      <w:ind w:hanging="0" w:start="720" w:end="0"/>
      <w:jc w:val="start"/>
    </w:pPr>
    <w:rPr>
      <w:spacing w:val="0"/>
      <w:lang w:val="es-ES_tradnl"/>
    </w:rPr>
  </w:style>
  <w:style w:type="paragraph" w:styleId="ListBullet">
    <w:name w:val="List Bullet"/>
    <w:basedOn w:val="List"/>
    <w:qFormat/>
    <w:pPr>
      <w:numPr>
        <w:ilvl w:val="0"/>
        <w:numId w:val="2"/>
      </w:numPr>
      <w:tabs>
        <w:tab w:val="clear" w:pos="720"/>
        <w:tab w:val="left" w:pos="360" w:leader="none"/>
      </w:tabs>
    </w:pPr>
    <w:rPr/>
  </w:style>
  <w:style w:type="paragraph" w:styleId="ListNumber">
    <w:name w:val="List Number"/>
    <w:basedOn w:val="BodyText"/>
    <w:qFormat/>
    <w:pPr>
      <w:numPr>
        <w:ilvl w:val="0"/>
        <w:numId w:val="3"/>
      </w:numPr>
      <w:tabs>
        <w:tab w:val="clear" w:pos="720"/>
        <w:tab w:val="left" w:pos="360" w:leader="none"/>
      </w:tabs>
      <w:ind w:hanging="360" w:start="36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2001-06-22T14:52:00Z</dcterms:created>
  <dc:creator>PEMEX GAS Y PETROQUIMICA BASICA</dc:creator>
  <dc:description/>
  <dc:language>en-CA</dc:language>
  <cp:lastModifiedBy>aperez</cp:lastModifiedBy>
  <cp:lastPrinted>2000-12-04T17:16:00Z</cp:lastPrinted>
  <dcterms:modified xsi:type="dcterms:W3CDTF">2001-06-22T18:15:00Z</dcterms:modified>
  <cp:revision>5</cp:revision>
  <dc:subject/>
  <dc:title>Professional Letter</dc:title>
</cp:coreProperties>
</file>