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594" w:hRule="exact"/>
        </w:trPr>
        <w:tc>
          <w:tcPr>
            <w:tcW w:w="708" w:type="dxa"/>
            <w:tcBorders/>
          </w:tcPr>
          <w:p>
            <w:pPr>
              <w:pStyle w:val="Normal"/>
              <w:widowControl/>
              <w:ind w:start="-180" w:end="0"/>
              <w:jc w:val="end"/>
              <w:rPr>
                <w:sz w:val="16"/>
              </w:rPr>
            </w:pPr>
            <w:r>
              <w:rPr>
                <w:sz w:val="16"/>
              </w:rPr>
              <w:t>To:</w:t>
            </w:r>
          </w:p>
        </w:tc>
        <w:tc>
          <w:tcPr>
            <w:tcW w:w="6045" w:type="dxa"/>
            <w:tcBorders/>
          </w:tcPr>
          <w:p>
            <w:pPr>
              <w:pStyle w:val="To"/>
              <w:widowControl/>
              <w:rPr/>
            </w:pPr>
            <w:r>
              <w:rPr/>
              <w:t>Sally Beck</w:t>
            </w:r>
          </w:p>
          <w:p>
            <w:pPr>
              <w:pStyle w:val="To"/>
              <w:widowControl/>
              <w:rPr/>
            </w:pPr>
            <w:r>
              <w:rPr/>
              <w:t>Shona Wilson</w:t>
            </w:r>
          </w:p>
        </w:tc>
        <w:tc>
          <w:tcPr>
            <w:tcW w:w="990" w:type="dxa"/>
            <w:tcBorders/>
          </w:tcPr>
          <w:p>
            <w:pPr>
              <w:pStyle w:val="Normal"/>
              <w:widowControl/>
              <w:snapToGrid w:val="false"/>
              <w:ind w:start="-180" w:end="0"/>
              <w:rPr/>
            </w:pPr>
            <w:r>
              <w:rPr/>
            </w:r>
          </w:p>
        </w:tc>
        <w:tc>
          <w:tcPr>
            <w:tcW w:w="2965" w:type="dxa"/>
            <w:tcBorders/>
          </w:tcPr>
          <w:p>
            <w:pPr>
              <w:pStyle w:val="Normal"/>
              <w:widowControl/>
              <w:snapToGrid w:val="false"/>
              <w:rPr/>
            </w:pPr>
            <w:r>
              <w:rPr/>
            </w:r>
          </w:p>
        </w:tc>
      </w:tr>
      <w:tr>
        <w:trPr>
          <w:trHeight w:val="216" w:hRule="exact"/>
        </w:trPr>
        <w:tc>
          <w:tcPr>
            <w:tcW w:w="708" w:type="dxa"/>
            <w:tcBorders/>
          </w:tcPr>
          <w:p>
            <w:pPr>
              <w:pStyle w:val="Normal"/>
              <w:widowControl/>
              <w:snapToGrid w:val="false"/>
              <w:ind w:start="-180" w:end="0"/>
              <w:jc w:val="end"/>
              <w:rPr>
                <w:sz w:val="18"/>
              </w:rPr>
            </w:pPr>
            <w:r>
              <w:rPr>
                <w:sz w:val="18"/>
              </w:rPr>
            </w:r>
          </w:p>
        </w:tc>
        <w:tc>
          <w:tcPr>
            <w:tcW w:w="6045" w:type="dxa"/>
            <w:tcBorders/>
          </w:tcPr>
          <w:p>
            <w:pPr>
              <w:pStyle w:val="Normal"/>
              <w:widowControl/>
              <w:snapToGrid w:val="false"/>
              <w:rPr>
                <w:sz w:val="18"/>
              </w:rPr>
            </w:pPr>
            <w:r>
              <w:rPr>
                <w:sz w:val="18"/>
              </w:rPr>
            </w:r>
          </w:p>
        </w:tc>
        <w:tc>
          <w:tcPr>
            <w:tcW w:w="990" w:type="dxa"/>
            <w:tcBorders/>
          </w:tcPr>
          <w:p>
            <w:pPr>
              <w:pStyle w:val="Normal"/>
              <w:widowControl/>
              <w:snapToGrid w:val="false"/>
              <w:ind w:start="-180" w:end="0"/>
              <w:rPr>
                <w:sz w:val="18"/>
              </w:rPr>
            </w:pPr>
            <w:r>
              <w:rPr>
                <w:sz w:val="18"/>
              </w:rPr>
            </w:r>
          </w:p>
        </w:tc>
        <w:tc>
          <w:tcPr>
            <w:tcW w:w="2965" w:type="dxa"/>
            <w:tcBorders/>
          </w:tcPr>
          <w:p>
            <w:pPr>
              <w:pStyle w:val="Normal"/>
              <w:widowControl/>
              <w:snapToGrid w:val="false"/>
              <w:rPr>
                <w:sz w:val="18"/>
              </w:rPr>
            </w:pPr>
            <w:r>
              <w:rPr>
                <w:sz w:val="18"/>
              </w:rPr>
            </w:r>
          </w:p>
        </w:tc>
      </w:tr>
      <w:tr>
        <w:trPr>
          <w:trHeight w:val="300" w:hRule="exact"/>
        </w:trPr>
        <w:tc>
          <w:tcPr>
            <w:tcW w:w="708" w:type="dxa"/>
            <w:tcBorders/>
          </w:tcPr>
          <w:p>
            <w:pPr>
              <w:pStyle w:val="Normal"/>
              <w:widowControl/>
              <w:ind w:start="-180" w:end="0"/>
              <w:jc w:val="end"/>
              <w:rPr>
                <w:sz w:val="16"/>
              </w:rPr>
            </w:pPr>
            <w:r>
              <w:rPr>
                <w:sz w:val="16"/>
              </w:rPr>
              <w:t>From:</w:t>
            </w:r>
          </w:p>
        </w:tc>
        <w:tc>
          <w:tcPr>
            <w:tcW w:w="6045" w:type="dxa"/>
            <w:tcBorders/>
          </w:tcPr>
          <w:p>
            <w:pPr>
              <w:pStyle w:val="From"/>
              <w:widowControl/>
              <w:rPr/>
            </w:pPr>
            <w:r>
              <w:rPr/>
              <w:t>Michael Moscoso</w:t>
            </w:r>
          </w:p>
        </w:tc>
        <w:tc>
          <w:tcPr>
            <w:tcW w:w="990" w:type="dxa"/>
            <w:tcBorders/>
          </w:tcPr>
          <w:p>
            <w:pPr>
              <w:pStyle w:val="Normal"/>
              <w:widowControl/>
              <w:ind w:start="-180" w:end="0"/>
              <w:jc w:val="end"/>
              <w:rPr>
                <w:sz w:val="16"/>
              </w:rPr>
            </w:pPr>
            <w:r>
              <w:rPr>
                <w:sz w:val="16"/>
              </w:rPr>
              <w:t>Department:</w:t>
            </w:r>
          </w:p>
        </w:tc>
        <w:tc>
          <w:tcPr>
            <w:tcW w:w="2965" w:type="dxa"/>
            <w:tcBorders/>
          </w:tcPr>
          <w:p>
            <w:pPr>
              <w:pStyle w:val="Department"/>
              <w:widowControl/>
              <w:rPr/>
            </w:pPr>
            <w:bookmarkStart w:id="0" w:name="From"/>
            <w:bookmarkEnd w:id="0"/>
            <w:r>
              <w:rPr/>
              <w:t>Risk Management</w:t>
            </w:r>
          </w:p>
        </w:tc>
      </w:tr>
      <w:tr>
        <w:trPr>
          <w:trHeight w:val="216" w:hRule="exact"/>
        </w:trPr>
        <w:tc>
          <w:tcPr>
            <w:tcW w:w="708" w:type="dxa"/>
            <w:tcBorders/>
          </w:tcPr>
          <w:p>
            <w:pPr>
              <w:pStyle w:val="Normal"/>
              <w:widowControl/>
              <w:snapToGrid w:val="false"/>
              <w:ind w:start="-180" w:end="0"/>
              <w:jc w:val="end"/>
              <w:rPr>
                <w:sz w:val="18"/>
              </w:rPr>
            </w:pPr>
            <w:r>
              <w:rPr>
                <w:sz w:val="18"/>
              </w:rPr>
            </w:r>
          </w:p>
        </w:tc>
        <w:tc>
          <w:tcPr>
            <w:tcW w:w="6045" w:type="dxa"/>
            <w:tcBorders/>
          </w:tcPr>
          <w:p>
            <w:pPr>
              <w:pStyle w:val="Normal"/>
              <w:widowControl/>
              <w:snapToGrid w:val="false"/>
              <w:rPr>
                <w:sz w:val="18"/>
              </w:rPr>
            </w:pPr>
            <w:r>
              <w:rPr>
                <w:sz w:val="18"/>
              </w:rPr>
            </w:r>
          </w:p>
        </w:tc>
        <w:tc>
          <w:tcPr>
            <w:tcW w:w="990" w:type="dxa"/>
            <w:tcBorders/>
          </w:tcPr>
          <w:p>
            <w:pPr>
              <w:pStyle w:val="Normal"/>
              <w:widowControl/>
              <w:snapToGrid w:val="false"/>
              <w:ind w:start="-180" w:end="0"/>
              <w:rPr>
                <w:sz w:val="18"/>
              </w:rPr>
            </w:pPr>
            <w:r>
              <w:rPr>
                <w:sz w:val="18"/>
              </w:rPr>
            </w:r>
          </w:p>
        </w:tc>
        <w:tc>
          <w:tcPr>
            <w:tcW w:w="2965" w:type="dxa"/>
            <w:tcBorders/>
          </w:tcPr>
          <w:p>
            <w:pPr>
              <w:pStyle w:val="Normal"/>
              <w:widowControl/>
              <w:snapToGrid w:val="false"/>
              <w:rPr>
                <w:sz w:val="18"/>
              </w:rPr>
            </w:pPr>
            <w:r>
              <w:rPr>
                <w:sz w:val="18"/>
              </w:rPr>
            </w:r>
          </w:p>
        </w:tc>
      </w:tr>
      <w:tr>
        <w:trPr>
          <w:trHeight w:val="600" w:hRule="exact"/>
        </w:trPr>
        <w:tc>
          <w:tcPr>
            <w:tcW w:w="708" w:type="dxa"/>
            <w:tcBorders>
              <w:bottom w:val="single" w:sz="12" w:space="0" w:color="000000"/>
            </w:tcBorders>
          </w:tcPr>
          <w:p>
            <w:pPr>
              <w:pStyle w:val="Normal"/>
              <w:widowControl/>
              <w:ind w:start="-180" w:end="0"/>
              <w:jc w:val="end"/>
              <w:rPr>
                <w:sz w:val="16"/>
              </w:rPr>
            </w:pPr>
            <w:r>
              <w:rPr>
                <w:sz w:val="16"/>
              </w:rPr>
              <w:t>Subject:</w:t>
            </w:r>
          </w:p>
        </w:tc>
        <w:tc>
          <w:tcPr>
            <w:tcW w:w="6045" w:type="dxa"/>
            <w:tcBorders>
              <w:bottom w:val="single" w:sz="12" w:space="0" w:color="000000"/>
            </w:tcBorders>
          </w:tcPr>
          <w:p>
            <w:pPr>
              <w:pStyle w:val="Subject"/>
              <w:widowControl/>
              <w:rPr/>
            </w:pPr>
            <w:r>
              <w:rPr/>
              <w:t xml:space="preserve">2000 Accomplishments </w:t>
            </w:r>
          </w:p>
        </w:tc>
        <w:tc>
          <w:tcPr>
            <w:tcW w:w="990" w:type="dxa"/>
            <w:tcBorders>
              <w:bottom w:val="single" w:sz="12" w:space="0" w:color="000000"/>
            </w:tcBorders>
          </w:tcPr>
          <w:p>
            <w:pPr>
              <w:pStyle w:val="Normal"/>
              <w:widowControl/>
              <w:ind w:start="-180" w:end="0"/>
              <w:jc w:val="end"/>
              <w:rPr>
                <w:sz w:val="16"/>
              </w:rPr>
            </w:pPr>
            <w:r>
              <w:rPr>
                <w:sz w:val="16"/>
              </w:rPr>
              <w:t>Date:</w:t>
            </w:r>
          </w:p>
        </w:tc>
        <w:tc>
          <w:tcPr>
            <w:tcW w:w="2965" w:type="dxa"/>
            <w:tcBorders>
              <w:bottom w:val="single" w:sz="12" w:space="0" w:color="000000"/>
            </w:tcBorders>
          </w:tcPr>
          <w:p>
            <w:pPr>
              <w:pStyle w:val="Date"/>
              <w:widowControl/>
              <w:rPr/>
            </w:pPr>
            <w:r>
              <w:rPr/>
              <w:t>June 16, 2000</w:t>
            </w:r>
          </w:p>
        </w:tc>
      </w:tr>
    </w:tbl>
    <w:p>
      <w:pPr>
        <w:pStyle w:val="Body"/>
        <w:widowControl/>
        <w:rPr/>
      </w:pPr>
      <w:r>
        <w:rPr/>
      </w:r>
      <w:bookmarkStart w:id="1" w:name="StartOfMemo"/>
      <w:bookmarkStart w:id="2" w:name="StartOfMemo"/>
      <w:bookmarkEnd w:id="2"/>
    </w:p>
    <w:p>
      <w:pPr>
        <w:pStyle w:val="Department"/>
        <w:widowControl/>
        <w:rPr/>
      </w:pPr>
      <w:r>
        <w:rPr/>
        <w:t>The following represent accomplishments for my team and me in 2000:</w:t>
      </w:r>
    </w:p>
    <w:p>
      <w:pPr>
        <w:pStyle w:val="Department"/>
        <w:widowControl/>
        <w:rPr/>
      </w:pPr>
      <w:r>
        <w:rPr/>
      </w:r>
    </w:p>
    <w:p>
      <w:pPr>
        <w:pStyle w:val="Department"/>
        <w:widowControl/>
        <w:rPr>
          <w:b/>
        </w:rPr>
      </w:pPr>
      <w:r>
        <w:rPr>
          <w:b/>
          <w:u w:val="single"/>
        </w:rPr>
        <w:t>Daily Position Report</w:t>
      </w:r>
    </w:p>
    <w:p>
      <w:pPr>
        <w:pStyle w:val="Department"/>
        <w:widowControl/>
        <w:rPr>
          <w:b/>
        </w:rPr>
      </w:pPr>
      <w:r>
        <w:rPr>
          <w:b/>
        </w:rPr>
      </w:r>
    </w:p>
    <w:p>
      <w:pPr>
        <w:pStyle w:val="Department"/>
        <w:widowControl/>
        <w:numPr>
          <w:ilvl w:val="0"/>
          <w:numId w:val="3"/>
        </w:numPr>
        <w:tabs>
          <w:tab w:val="left" w:pos="360" w:leader="none"/>
        </w:tabs>
        <w:rPr/>
      </w:pPr>
      <w:r>
        <w:rPr/>
        <w:t xml:space="preserve">Simplified consolidation process for London and for Global Liquids information.  Process improvement resulted in a more efficient month-end and quarter-end process.  </w:t>
      </w:r>
    </w:p>
    <w:p>
      <w:pPr>
        <w:pStyle w:val="Department"/>
        <w:widowControl/>
        <w:numPr>
          <w:ilvl w:val="0"/>
          <w:numId w:val="3"/>
        </w:numPr>
        <w:tabs>
          <w:tab w:val="left" w:pos="360" w:leader="none"/>
        </w:tabs>
        <w:rPr/>
      </w:pPr>
      <w:r>
        <w:rPr/>
        <w:t>Added numerous new reports to the Executive Reports Viewer per request from the Office of the Chair (J. Lavorato).  This required significant cooperation and teamwork across many groups including IT, Market Intelligence, and the various commodity groups.  New reports are as follows:</w:t>
      </w:r>
    </w:p>
    <w:p>
      <w:pPr>
        <w:pStyle w:val="Department"/>
        <w:widowControl/>
        <w:numPr>
          <w:ilvl w:val="0"/>
          <w:numId w:val="3"/>
        </w:numPr>
        <w:tabs>
          <w:tab w:val="left" w:pos="360" w:leader="none"/>
        </w:tabs>
        <w:ind w:hanging="360" w:start="720" w:end="0"/>
        <w:rPr/>
      </w:pPr>
      <w:r>
        <w:rPr/>
        <w:t>Gas Basis Position Report</w:t>
      </w:r>
    </w:p>
    <w:p>
      <w:pPr>
        <w:pStyle w:val="Department"/>
        <w:widowControl/>
        <w:numPr>
          <w:ilvl w:val="0"/>
          <w:numId w:val="3"/>
        </w:numPr>
        <w:tabs>
          <w:tab w:val="left" w:pos="360" w:leader="none"/>
        </w:tabs>
        <w:ind w:hanging="360" w:start="720" w:end="0"/>
        <w:rPr/>
      </w:pPr>
      <w:r>
        <w:rPr/>
        <w:t>Gas Average Basis Report</w:t>
      </w:r>
    </w:p>
    <w:p>
      <w:pPr>
        <w:pStyle w:val="Department"/>
        <w:widowControl/>
        <w:numPr>
          <w:ilvl w:val="0"/>
          <w:numId w:val="3"/>
        </w:numPr>
        <w:tabs>
          <w:tab w:val="left" w:pos="360" w:leader="none"/>
        </w:tabs>
        <w:ind w:hanging="360" w:start="720" w:end="0"/>
        <w:rPr/>
      </w:pPr>
      <w:r>
        <w:rPr/>
        <w:t>East Power Position Report</w:t>
      </w:r>
    </w:p>
    <w:p>
      <w:pPr>
        <w:pStyle w:val="Department"/>
        <w:widowControl/>
        <w:numPr>
          <w:ilvl w:val="0"/>
          <w:numId w:val="3"/>
        </w:numPr>
        <w:tabs>
          <w:tab w:val="left" w:pos="360" w:leader="none"/>
        </w:tabs>
        <w:ind w:hanging="360" w:start="720" w:end="0"/>
        <w:rPr/>
      </w:pPr>
      <w:r>
        <w:rPr/>
        <w:t>West Power Position Report</w:t>
      </w:r>
    </w:p>
    <w:p>
      <w:pPr>
        <w:pStyle w:val="Department"/>
        <w:widowControl/>
        <w:numPr>
          <w:ilvl w:val="0"/>
          <w:numId w:val="3"/>
        </w:numPr>
        <w:tabs>
          <w:tab w:val="left" w:pos="360" w:leader="none"/>
        </w:tabs>
        <w:ind w:hanging="360" w:start="720" w:end="0"/>
        <w:rPr/>
      </w:pPr>
      <w:r>
        <w:rPr/>
        <w:t>East Power P&amp;L Report</w:t>
      </w:r>
    </w:p>
    <w:p>
      <w:pPr>
        <w:pStyle w:val="Department"/>
        <w:widowControl/>
        <w:numPr>
          <w:ilvl w:val="0"/>
          <w:numId w:val="3"/>
        </w:numPr>
        <w:tabs>
          <w:tab w:val="left" w:pos="360" w:leader="none"/>
        </w:tabs>
        <w:ind w:hanging="360" w:start="720" w:end="0"/>
        <w:rPr/>
      </w:pPr>
      <w:r>
        <w:rPr/>
        <w:t>West Power P&amp;L Report</w:t>
      </w:r>
    </w:p>
    <w:p>
      <w:pPr>
        <w:pStyle w:val="Department"/>
        <w:widowControl/>
        <w:numPr>
          <w:ilvl w:val="0"/>
          <w:numId w:val="3"/>
        </w:numPr>
        <w:tabs>
          <w:tab w:val="left" w:pos="360" w:leader="none"/>
        </w:tabs>
        <w:ind w:hanging="360" w:start="720" w:end="0"/>
        <w:rPr/>
      </w:pPr>
      <w:r>
        <w:rPr/>
        <w:t>Power West Price Peak</w:t>
      </w:r>
    </w:p>
    <w:p>
      <w:pPr>
        <w:pStyle w:val="Department"/>
        <w:widowControl/>
        <w:numPr>
          <w:ilvl w:val="0"/>
          <w:numId w:val="3"/>
        </w:numPr>
        <w:tabs>
          <w:tab w:val="left" w:pos="360" w:leader="none"/>
        </w:tabs>
        <w:ind w:hanging="360" w:start="720" w:end="0"/>
        <w:rPr/>
      </w:pPr>
      <w:r>
        <w:rPr/>
        <w:t>Power West Price Off-peak</w:t>
      </w:r>
    </w:p>
    <w:p>
      <w:pPr>
        <w:pStyle w:val="Department"/>
        <w:widowControl/>
        <w:numPr>
          <w:ilvl w:val="0"/>
          <w:numId w:val="3"/>
        </w:numPr>
        <w:tabs>
          <w:tab w:val="left" w:pos="360" w:leader="none"/>
        </w:tabs>
        <w:ind w:hanging="360" w:start="720" w:end="0"/>
        <w:rPr/>
      </w:pPr>
      <w:r>
        <w:rPr/>
        <w:t>Power East Price</w:t>
      </w:r>
    </w:p>
    <w:p>
      <w:pPr>
        <w:pStyle w:val="Department"/>
        <w:widowControl/>
        <w:numPr>
          <w:ilvl w:val="0"/>
          <w:numId w:val="3"/>
        </w:numPr>
        <w:tabs>
          <w:tab w:val="left" w:pos="360" w:leader="none"/>
        </w:tabs>
        <w:ind w:hanging="360" w:start="720" w:end="0"/>
        <w:rPr/>
      </w:pPr>
      <w:r>
        <w:rPr/>
        <w:t>Coal P&amp;L</w:t>
      </w:r>
    </w:p>
    <w:p>
      <w:pPr>
        <w:pStyle w:val="Department"/>
        <w:widowControl/>
        <w:numPr>
          <w:ilvl w:val="0"/>
          <w:numId w:val="3"/>
        </w:numPr>
        <w:tabs>
          <w:tab w:val="left" w:pos="360" w:leader="none"/>
        </w:tabs>
        <w:ind w:hanging="360" w:start="720" w:end="0"/>
        <w:rPr/>
      </w:pPr>
      <w:r>
        <w:rPr/>
        <w:t>Coal Position &amp; Price</w:t>
      </w:r>
    </w:p>
    <w:p>
      <w:pPr>
        <w:pStyle w:val="Department"/>
        <w:widowControl/>
        <w:numPr>
          <w:ilvl w:val="0"/>
          <w:numId w:val="3"/>
        </w:numPr>
        <w:tabs>
          <w:tab w:val="left" w:pos="360" w:leader="none"/>
        </w:tabs>
        <w:ind w:hanging="360" w:start="720" w:end="0"/>
        <w:rPr/>
      </w:pPr>
      <w:r>
        <w:rPr/>
        <w:t>2 Weather Derivatives Reports</w:t>
      </w:r>
    </w:p>
    <w:p>
      <w:pPr>
        <w:pStyle w:val="Department"/>
        <w:widowControl/>
        <w:numPr>
          <w:ilvl w:val="0"/>
          <w:numId w:val="3"/>
        </w:numPr>
        <w:tabs>
          <w:tab w:val="left" w:pos="360" w:leader="none"/>
        </w:tabs>
        <w:rPr/>
      </w:pPr>
      <w:r>
        <w:rPr/>
        <w:t>Online approval of DPR transferred to John Lavorato.  John Sherriff online approval in development</w:t>
      </w:r>
    </w:p>
    <w:p>
      <w:pPr>
        <w:pStyle w:val="Department"/>
        <w:widowControl/>
        <w:numPr>
          <w:ilvl w:val="0"/>
          <w:numId w:val="3"/>
        </w:numPr>
        <w:tabs>
          <w:tab w:val="left" w:pos="360" w:leader="none"/>
        </w:tabs>
        <w:rPr/>
      </w:pPr>
      <w:r>
        <w:rPr/>
        <w:t>Continued accuracy in DPR and other reports throughout the year - NO ISSUES at month-ends and quarter-ends.</w:t>
      </w:r>
    </w:p>
    <w:p>
      <w:pPr>
        <w:pStyle w:val="Department"/>
        <w:widowControl/>
        <w:numPr>
          <w:ilvl w:val="0"/>
          <w:numId w:val="3"/>
        </w:numPr>
        <w:tabs>
          <w:tab w:val="left" w:pos="360" w:leader="none"/>
        </w:tabs>
        <w:rPr>
          <w:b/>
          <w:u w:val="single"/>
        </w:rPr>
      </w:pPr>
      <w:r>
        <w:rPr/>
        <w:t>Added Value at Risk by trader to Gas Position Report which is distributed to Commercial by 7:30 AM daily.</w:t>
      </w:r>
    </w:p>
    <w:p>
      <w:pPr>
        <w:pStyle w:val="Department"/>
        <w:widowControl/>
        <w:tabs>
          <w:tab w:val="left" w:pos="360" w:leader="none"/>
        </w:tabs>
        <w:rPr>
          <w:b/>
          <w:u w:val="single"/>
        </w:rPr>
      </w:pPr>
      <w:r>
        <w:rPr>
          <w:b/>
          <w:u w:val="single"/>
        </w:rPr>
      </w:r>
    </w:p>
    <w:p>
      <w:pPr>
        <w:pStyle w:val="Department"/>
        <w:widowControl/>
        <w:tabs>
          <w:tab w:val="left" w:pos="360" w:leader="none"/>
        </w:tabs>
        <w:rPr>
          <w:b/>
          <w:u w:val="single"/>
        </w:rPr>
      </w:pPr>
      <w:r>
        <w:rPr>
          <w:b/>
          <w:u w:val="single"/>
        </w:rPr>
        <w:t>Benchmark Reports</w:t>
      </w:r>
    </w:p>
    <w:p>
      <w:pPr>
        <w:pStyle w:val="Department"/>
        <w:widowControl/>
        <w:tabs>
          <w:tab w:val="left" w:pos="360" w:leader="none"/>
        </w:tabs>
        <w:rPr>
          <w:b/>
          <w:u w:val="single"/>
        </w:rPr>
      </w:pPr>
      <w:r>
        <w:rPr>
          <w:b/>
          <w:u w:val="single"/>
        </w:rPr>
      </w:r>
    </w:p>
    <w:p>
      <w:pPr>
        <w:pStyle w:val="Department"/>
        <w:widowControl/>
        <w:numPr>
          <w:ilvl w:val="0"/>
          <w:numId w:val="2"/>
        </w:numPr>
        <w:rPr/>
      </w:pPr>
      <w:r>
        <w:rPr/>
        <w:t>Global Liquids BM Report – Changed format to improve daily tie-out process with Global Liquids risk teams.</w:t>
      </w:r>
    </w:p>
    <w:p>
      <w:pPr>
        <w:pStyle w:val="Department"/>
        <w:widowControl/>
        <w:numPr>
          <w:ilvl w:val="0"/>
          <w:numId w:val="2"/>
        </w:numPr>
        <w:rPr/>
      </w:pPr>
      <w:r>
        <w:rPr/>
        <w:t>Added Bandwidth Trading positions to Emerging Products BM Report</w:t>
      </w:r>
    </w:p>
    <w:p>
      <w:pPr>
        <w:pStyle w:val="Department"/>
        <w:widowControl/>
        <w:rPr/>
      </w:pPr>
      <w:r>
        <w:rPr/>
      </w:r>
    </w:p>
    <w:p>
      <w:pPr>
        <w:pStyle w:val="Department"/>
        <w:widowControl/>
        <w:rPr>
          <w:b/>
          <w:u w:val="single"/>
        </w:rPr>
      </w:pPr>
      <w:r>
        <w:rPr>
          <w:b/>
          <w:u w:val="single"/>
        </w:rPr>
        <w:t>Bridgeline</w:t>
      </w:r>
    </w:p>
    <w:p>
      <w:pPr>
        <w:pStyle w:val="Department"/>
        <w:widowControl/>
        <w:rPr>
          <w:b/>
          <w:u w:val="single"/>
        </w:rPr>
      </w:pPr>
      <w:r>
        <w:rPr>
          <w:b/>
          <w:u w:val="single"/>
        </w:rPr>
      </w:r>
    </w:p>
    <w:p>
      <w:pPr>
        <w:pStyle w:val="Department"/>
        <w:widowControl/>
        <w:jc w:val="both"/>
        <w:rPr/>
      </w:pPr>
      <w:r>
        <w:rPr/>
        <w:t xml:space="preserve">Took on additional task of preparing daily benchmark report and Daily Position Report for the Bridgeline Partnership. </w:t>
      </w:r>
    </w:p>
    <w:p>
      <w:pPr>
        <w:pStyle w:val="Department"/>
        <w:widowControl/>
        <w:tabs>
          <w:tab w:val="left" w:pos="360" w:leader="none"/>
        </w:tabs>
        <w:rPr>
          <w:b/>
          <w:u w:val="single"/>
        </w:rPr>
      </w:pPr>
      <w:r>
        <w:rPr>
          <w:b/>
          <w:u w:val="single"/>
        </w:rPr>
      </w:r>
    </w:p>
    <w:p>
      <w:pPr>
        <w:pStyle w:val="Department"/>
        <w:widowControl/>
        <w:tabs>
          <w:tab w:val="left" w:pos="360" w:leader="none"/>
        </w:tabs>
        <w:rPr>
          <w:b/>
          <w:u w:val="single"/>
        </w:rPr>
      </w:pPr>
      <w:r>
        <w:rPr>
          <w:b/>
          <w:u w:val="single"/>
        </w:rPr>
        <w:t>Curve Validation</w:t>
      </w:r>
    </w:p>
    <w:p>
      <w:pPr>
        <w:pStyle w:val="Department"/>
        <w:widowControl/>
        <w:tabs>
          <w:tab w:val="left" w:pos="360" w:leader="none"/>
        </w:tabs>
        <w:rPr>
          <w:b/>
          <w:u w:val="single"/>
        </w:rPr>
      </w:pPr>
      <w:r>
        <w:rPr>
          <w:b/>
          <w:u w:val="single"/>
        </w:rPr>
      </w:r>
    </w:p>
    <w:p>
      <w:pPr>
        <w:pStyle w:val="Department"/>
        <w:widowControl/>
        <w:numPr>
          <w:ilvl w:val="0"/>
          <w:numId w:val="3"/>
        </w:numPr>
        <w:tabs>
          <w:tab w:val="left" w:pos="360" w:leader="none"/>
        </w:tabs>
        <w:rPr/>
      </w:pPr>
      <w:r>
        <w:rPr/>
        <w:t>Implemented “Commodity-specific” curve validation reports for Power, Natural Gas and Global Liquids</w:t>
      </w:r>
    </w:p>
    <w:p>
      <w:pPr>
        <w:pStyle w:val="Department"/>
        <w:widowControl/>
        <w:numPr>
          <w:ilvl w:val="0"/>
          <w:numId w:val="3"/>
        </w:numPr>
        <w:tabs>
          <w:tab w:val="left" w:pos="360" w:leader="none"/>
        </w:tabs>
        <w:rPr/>
      </w:pPr>
      <w:r>
        <w:rPr/>
        <w:t>Expanded scope to include volatility curves</w:t>
      </w:r>
    </w:p>
    <w:p>
      <w:pPr>
        <w:pStyle w:val="Department"/>
        <w:widowControl/>
        <w:numPr>
          <w:ilvl w:val="0"/>
          <w:numId w:val="3"/>
        </w:numPr>
        <w:tabs>
          <w:tab w:val="left" w:pos="360" w:leader="none"/>
        </w:tabs>
        <w:rPr/>
      </w:pPr>
      <w:r>
        <w:rPr/>
        <w:t>Created new graphing tool with IT team to improve timeliness and efficiency for graphing curves</w:t>
      </w:r>
    </w:p>
    <w:p>
      <w:pPr>
        <w:pStyle w:val="Department"/>
        <w:widowControl/>
        <w:tabs>
          <w:tab w:val="left" w:pos="360" w:leader="none"/>
        </w:tabs>
        <w:rPr/>
      </w:pPr>
      <w:r>
        <w:rPr/>
      </w:r>
    </w:p>
    <w:p>
      <w:pPr>
        <w:pStyle w:val="Department"/>
        <w:widowControl/>
        <w:tabs>
          <w:tab w:val="left" w:pos="360" w:leader="none"/>
        </w:tabs>
        <w:rPr/>
      </w:pPr>
      <w:r>
        <w:rPr/>
      </w:r>
    </w:p>
    <w:p>
      <w:pPr>
        <w:pStyle w:val="Department"/>
        <w:widowControl/>
        <w:tabs>
          <w:tab w:val="left" w:pos="360" w:leader="none"/>
        </w:tabs>
        <w:rPr/>
      </w:pPr>
      <w:r>
        <w:rPr/>
      </w:r>
    </w:p>
    <w:p>
      <w:pPr>
        <w:pStyle w:val="Department"/>
        <w:widowControl/>
        <w:tabs>
          <w:tab w:val="left" w:pos="360" w:leader="none"/>
        </w:tabs>
        <w:rPr/>
      </w:pPr>
      <w:r>
        <w:rPr/>
      </w:r>
    </w:p>
    <w:p>
      <w:pPr>
        <w:pStyle w:val="Department"/>
        <w:widowControl/>
        <w:tabs>
          <w:tab w:val="left" w:pos="360" w:leader="none"/>
        </w:tabs>
        <w:rPr>
          <w:b/>
          <w:u w:val="single"/>
        </w:rPr>
      </w:pPr>
      <w:r>
        <w:rPr>
          <w:b/>
          <w:u w:val="single"/>
        </w:rPr>
      </w:r>
    </w:p>
    <w:p>
      <w:pPr>
        <w:pStyle w:val="Department"/>
        <w:widowControl/>
        <w:tabs>
          <w:tab w:val="left" w:pos="360" w:leader="none"/>
        </w:tabs>
        <w:rPr>
          <w:b/>
          <w:u w:val="single"/>
        </w:rPr>
      </w:pPr>
      <w:r>
        <w:rPr>
          <w:b/>
          <w:u w:val="single"/>
        </w:rPr>
        <w:t>Budget</w:t>
      </w:r>
    </w:p>
    <w:p>
      <w:pPr>
        <w:pStyle w:val="Department"/>
        <w:widowControl/>
        <w:tabs>
          <w:tab w:val="left" w:pos="360" w:leader="none"/>
        </w:tabs>
        <w:rPr/>
      </w:pPr>
      <w:r>
        <w:rPr/>
      </w:r>
    </w:p>
    <w:p>
      <w:pPr>
        <w:pStyle w:val="Department"/>
        <w:widowControl/>
        <w:tabs>
          <w:tab w:val="left" w:pos="360" w:leader="none"/>
        </w:tabs>
        <w:rPr/>
      </w:pPr>
      <w:r>
        <w:rPr/>
        <w:t>YTD expenses on budget through May 2000.</w:t>
      </w:r>
    </w:p>
    <w:p>
      <w:pPr>
        <w:pStyle w:val="Department"/>
        <w:widowControl/>
        <w:tabs>
          <w:tab w:val="left" w:pos="360" w:leader="none"/>
        </w:tabs>
        <w:rPr/>
      </w:pPr>
      <w:r>
        <w:rPr/>
      </w:r>
    </w:p>
    <w:p>
      <w:pPr>
        <w:pStyle w:val="Department"/>
        <w:widowControl/>
        <w:rPr>
          <w:b/>
          <w:u w:val="single"/>
        </w:rPr>
      </w:pPr>
      <w:r>
        <w:rPr>
          <w:b/>
          <w:u w:val="single"/>
        </w:rPr>
        <w:t>Other</w:t>
      </w:r>
    </w:p>
    <w:p>
      <w:pPr>
        <w:pStyle w:val="Department"/>
        <w:widowControl/>
        <w:rPr>
          <w:b/>
          <w:u w:val="single"/>
        </w:rPr>
      </w:pPr>
      <w:r>
        <w:rPr>
          <w:b/>
          <w:u w:val="single"/>
        </w:rPr>
      </w:r>
    </w:p>
    <w:p>
      <w:pPr>
        <w:pStyle w:val="Department"/>
        <w:widowControl/>
        <w:numPr>
          <w:ilvl w:val="0"/>
          <w:numId w:val="3"/>
        </w:numPr>
        <w:tabs>
          <w:tab w:val="left" w:pos="360" w:leader="none"/>
        </w:tabs>
        <w:rPr/>
      </w:pPr>
      <w:r>
        <w:rPr/>
        <w:t>Instructor for DPR and MTM accounting  class</w:t>
      </w:r>
    </w:p>
    <w:p>
      <w:pPr>
        <w:pStyle w:val="Department"/>
        <w:widowControl/>
        <w:numPr>
          <w:ilvl w:val="0"/>
          <w:numId w:val="3"/>
        </w:numPr>
        <w:tabs>
          <w:tab w:val="left" w:pos="360" w:leader="none"/>
        </w:tabs>
        <w:rPr/>
      </w:pPr>
      <w:r>
        <w:rPr/>
        <w:t>Member of the PBA Committee</w:t>
      </w:r>
    </w:p>
    <w:p>
      <w:pPr>
        <w:pStyle w:val="Department"/>
        <w:widowControl/>
        <w:numPr>
          <w:ilvl w:val="0"/>
          <w:numId w:val="3"/>
        </w:numPr>
        <w:tabs>
          <w:tab w:val="left" w:pos="360" w:leader="none"/>
        </w:tabs>
        <w:rPr/>
      </w:pPr>
      <w:r>
        <w:rPr/>
        <w:t>Recruiting participant throughout the year</w:t>
      </w:r>
    </w:p>
    <w:p>
      <w:pPr>
        <w:pStyle w:val="Department"/>
        <w:widowContro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-360680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2000-06-16T14:31:00Z</dcterms:created>
  <dc:creator>Jeff Ford</dc:creator>
  <dc:description/>
  <dc:language>en-CA</dc:language>
  <cp:lastModifiedBy>mmoscos</cp:lastModifiedBy>
  <dcterms:modified xsi:type="dcterms:W3CDTF">2000-06-16T14:31:00Z</dcterms:modified>
  <cp:revision>2</cp:revision>
  <dc:subject/>
  <dc:title>Eron Capital &amp; Trade Resources Memo</dc:title>
</cp:coreProperties>
</file>