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b/>
          <w:bCs w:val="false"/>
          <w:sz w:val="22"/>
        </w:rPr>
        <w:t xml:space="preserve">Price Risk </w:t>
      </w:r>
      <w:r>
        <w:rPr>
          <w:sz w:val="22"/>
        </w:rPr>
        <w:t xml:space="preserve">is the variability of the price of </w:t>
      </w:r>
      <w:r>
        <w:rPr>
          <w:sz w:val="22"/>
          <w:highlight w:val="yellow"/>
        </w:rPr>
        <w:t>assets (financial or phisical)</w:t>
      </w:r>
      <w:r>
        <w:rPr>
          <w:sz w:val="22"/>
        </w:rPr>
        <w:t xml:space="preserve"> or earnings (profits or losses) due to unpredictable or uncertain external (market) events.  Three fundamental aspects of understanding and managing price risk are as follows:</w:t>
      </w:r>
    </w:p>
    <w:p>
      <w:pPr>
        <w:pStyle w:val="Normal"/>
        <w:numPr>
          <w:ilvl w:val="0"/>
          <w:numId w:val="2"/>
        </w:numPr>
        <w:tabs>
          <w:tab w:val="clear" w:pos="720"/>
          <w:tab w:val="right" w:pos="8640" w:leader="none"/>
        </w:tabs>
        <w:jc w:val="both"/>
        <w:rPr>
          <w:sz w:val="22"/>
        </w:rPr>
      </w:pPr>
      <w:r>
        <w:rPr>
          <w:sz w:val="22"/>
        </w:rPr>
        <w:t>Price risk does not go away; it just gets transferred through various market (risk management) products to those market participants that are more willing and/or able to bear it.</w:t>
      </w:r>
    </w:p>
    <w:p>
      <w:pPr>
        <w:pStyle w:val="Normal"/>
        <w:numPr>
          <w:ilvl w:val="0"/>
          <w:numId w:val="2"/>
        </w:numPr>
        <w:tabs>
          <w:tab w:val="clear" w:pos="720"/>
          <w:tab w:val="right" w:pos="8640" w:leader="none"/>
        </w:tabs>
        <w:jc w:val="both"/>
        <w:rPr>
          <w:sz w:val="22"/>
        </w:rPr>
      </w:pPr>
      <w:r>
        <w:rPr>
          <w:sz w:val="22"/>
        </w:rPr>
        <w:t>Transferring (mitigating) price risk from one party to another has a cost.  These costs are incurred in the form of direct fees (product costs) or opportunity costs.</w:t>
      </w:r>
    </w:p>
    <w:p>
      <w:pPr>
        <w:pStyle w:val="Normal"/>
        <w:numPr>
          <w:ilvl w:val="0"/>
          <w:numId w:val="2"/>
        </w:numPr>
        <w:tabs>
          <w:tab w:val="clear" w:pos="720"/>
          <w:tab w:val="right" w:pos="8640" w:leader="none"/>
        </w:tabs>
        <w:jc w:val="both"/>
        <w:rPr>
          <w:sz w:val="22"/>
        </w:rPr>
      </w:pPr>
      <w:r>
        <w:rPr>
          <w:sz w:val="22"/>
        </w:rPr>
        <w:t xml:space="preserve">A cost/benefit analysis takes place before price risk is transferred between parties.  This analysis identifies the cost (direct or opportunity) of a particular product and compares it to the benefit gained by transferring the risk to another party.   </w:t>
      </w:r>
    </w:p>
    <w:p>
      <w:pPr>
        <w:pStyle w:val="Normal"/>
        <w:tabs>
          <w:tab w:val="clear" w:pos="720"/>
          <w:tab w:val="right" w:pos="8640" w:leader="none"/>
        </w:tabs>
        <w:jc w:val="both"/>
        <w:rPr>
          <w:b/>
          <w:bCs w:val="false"/>
          <w:sz w:val="22"/>
        </w:rPr>
      </w:pPr>
      <w:r>
        <w:rPr>
          <w:b/>
          <w:bCs w:val="false"/>
          <w:sz w:val="22"/>
        </w:rPr>
      </w:r>
    </w:p>
    <w:p>
      <w:pPr>
        <w:pStyle w:val="Normal"/>
        <w:tabs>
          <w:tab w:val="clear" w:pos="720"/>
          <w:tab w:val="right" w:pos="8640" w:leader="none"/>
        </w:tabs>
        <w:jc w:val="both"/>
        <w:rPr/>
      </w:pPr>
      <w:r>
        <w:rPr>
          <w:b/>
          <w:bCs w:val="false"/>
          <w:sz w:val="22"/>
        </w:rPr>
        <w:t>Volatility</w:t>
      </w:r>
      <w:r>
        <w:rPr>
          <w:sz w:val="22"/>
        </w:rPr>
        <w:t xml:space="preserve"> is a statistical measure of how much price is expected to change (the probable range of movement) over a specific period of time.  Price is expected to change a great deal in a high volatility environment and less so in a low volatility environment.  Two important characteristics of volatility are (1) volatility is not constant over time (volatility changes as markets conditions change) and (2) volatility is statistically persistent (i.e. trends).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 xml:space="preserve">Two types of volatility that can be observed are </w:t>
      </w:r>
      <w:r>
        <w:rPr>
          <w:i/>
          <w:sz w:val="22"/>
        </w:rPr>
        <w:t>historical</w:t>
      </w:r>
      <w:r>
        <w:rPr>
          <w:sz w:val="22"/>
        </w:rPr>
        <w:t xml:space="preserve"> volatility and the </w:t>
      </w:r>
      <w:r>
        <w:rPr>
          <w:i/>
          <w:sz w:val="22"/>
        </w:rPr>
        <w:t>implied (or expected)</w:t>
      </w:r>
      <w:r>
        <w:rPr>
          <w:sz w:val="22"/>
        </w:rPr>
        <w:t xml:space="preserve"> volatility.  Historical volatility can be calculated by looking at the historical price movements of a commodity and tells us about how volatile the commodity has been over past time periods.  </w:t>
      </w:r>
      <w:r>
        <w:rPr>
          <w:sz w:val="22"/>
          <w:highlight w:val="yellow"/>
        </w:rPr>
        <w:t>Assuming that asset price returns follow a Brownian motion, for example, we may assess the historical volatility (assumed here to be constant) by calculating, for a time series of prices, the standard deviation of annualized price returns.  The Brownian motion assumption implies that asset returns are normally distributed and that the variance of price returns grows proprtionally with time.  Fisher Black and Myron Scholes used this fact to derive the equation for pricing vanilla options for equities.  Later on, Fisher Black alone soved the equation for pricing options on futures and forward contracts.</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rPr>
        <w:t xml:space="preserve">Implied volatility can be found from the market prices of options and represents the market’s view of the future volatility of a commodity.  </w:t>
      </w:r>
      <w:r>
        <w:rPr>
          <w:sz w:val="22"/>
          <w:highlight w:val="yellow"/>
        </w:rPr>
        <w:t>We need to make assumptions about the behaviour of prices whenever calculating the market implied volatility.  If we believe the Balck formulation is a good approximation for pricing options on futures contracts, for instance, we may derive the market’s volatility by numerically finding wich volatility number in the Black formula produces the option premium that the market is presently trading.</w:t>
      </w:r>
      <w:r>
        <w:rPr>
          <w:sz w:val="22"/>
        </w:rPr>
        <w:t xml:space="preserve">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highlight w:val="yellow"/>
        </w:rPr>
        <w:t>In a nutshell, volatility gives us an idea on how fast our uncertainty of price returns growth with time</w:t>
      </w:r>
      <w:r>
        <w:rPr>
          <w:sz w:val="22"/>
        </w:rPr>
        <w:t xml:space="preserve">. By way of example, if a </w:t>
      </w:r>
      <w:r>
        <w:rPr>
          <w:sz w:val="22"/>
          <w:highlight w:val="yellow"/>
        </w:rPr>
        <w:t>one-year</w:t>
      </w:r>
      <w:r>
        <w:rPr>
          <w:sz w:val="22"/>
        </w:rPr>
        <w:t xml:space="preserve"> natural gas futures contract is trading at a price of $3.00 per MMBtu and the contract has a volatility of 30%, </w:t>
      </w:r>
      <w:r>
        <w:rPr>
          <w:sz w:val="22"/>
          <w:highlight w:val="yellow"/>
        </w:rPr>
        <w:t>we may roughly say that</w:t>
      </w:r>
      <w:r>
        <w:rPr>
          <w:sz w:val="22"/>
        </w:rPr>
        <w:t xml:space="preserve"> there is a 67% probability (one standard deviation) the price will range between $2.10 and $3.90 (+/- $0.90) on an annualized basis.  Additionally, there is a 95% probability (two standard deviations) the price will range between ($1.20 and $4.80).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rPr>
        <w:t xml:space="preserve">As related to price risk, </w:t>
      </w:r>
      <w:r>
        <w:rPr>
          <w:b/>
          <w:bCs w:val="false"/>
          <w:sz w:val="22"/>
        </w:rPr>
        <w:t>Risk Management</w:t>
      </w:r>
      <w:r>
        <w:rPr>
          <w:sz w:val="22"/>
        </w:rPr>
        <w:t xml:space="preserve"> is the control and limitation (i.e. hedge) of the price risk faced by an organization due to its exposure to changes in market factors (risks).  These market factors are usually managed by hedging with financial instruments.  Another hedge to price risk can is portfolio diversification.  Even deciding not to actively manage risk or taking the path of least resistance is an action that has future consequences to profitability.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sz w:val="22"/>
        </w:rPr>
        <w:t xml:space="preserve">A </w:t>
      </w:r>
      <w:r>
        <w:rPr>
          <w:b/>
          <w:bCs w:val="false"/>
          <w:sz w:val="22"/>
        </w:rPr>
        <w:t>Hedge</w:t>
      </w:r>
      <w:r>
        <w:rPr>
          <w:sz w:val="22"/>
        </w:rPr>
        <w:t xml:space="preserve"> is a mechanism or strategy by which a party reduces, minimizes or eliminates its exposure to price risk (volatility).  The function of a hedge is to preserve the price of asset values or earnings.  An ideal or perfect hedge leaves no remaining price risk and covers the entire risk identified and the value locked in or guaranteed.  A partial hedge mitigates some, but not all, of the risk.  Hedging requires the assessment of the cost and advisability of a perfect hedge versus a partial hedge as well as the risk appetite of the participants.  Risk management products include Forward Contracts, Futures Contracts, Options (Put/Call), Swaps, Caps/Floors, Collars</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pPr>
      <w:r>
        <w:rPr>
          <w:b/>
          <w:bCs w:val="false"/>
          <w:sz w:val="22"/>
        </w:rPr>
        <w:t>Derivatives</w:t>
      </w:r>
      <w:r>
        <w:rPr>
          <w:sz w:val="22"/>
        </w:rPr>
        <w:t xml:space="preserve"> are financial contracts whose value is derived from another under-lying financial security/asset.  Derivatives can be used to hedge against financial risk or to speculate on the movement of commodity prices.  The two primary reasons for using derivatives within a risk management program are (1) high and variable levels of price risk (volatility) and (2) limited ability to adequately manage risk exposure through policy decisions and/or cash market transactions.  </w:t>
      </w:r>
      <w:r>
        <w:rPr>
          <w:b/>
          <w:bCs w:val="false"/>
          <w:sz w:val="22"/>
        </w:rPr>
        <w:t>Speculating</w:t>
      </w:r>
      <w:r>
        <w:rPr>
          <w:sz w:val="22"/>
        </w:rPr>
        <w:t xml:space="preserve"> is taking a position in a market without having an underlying need to protect against price risk (volatility).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Producers of natural gas are naturally long gas and have the risk that prices will go down or below lifting costs.  Consumers of natural gas are naturally short gas and have the risk that prices will go up or above target prices.  Owners of natural gas storage facilities/contracts are naturally long the seasonal spread and have the risk that the seasonal spread will decrease (narrow) below needed ROC ratios.</w:t>
      </w:r>
    </w:p>
    <w:p>
      <w:pPr>
        <w:pStyle w:val="Normal"/>
        <w:pBdr>
          <w:bottom w:val="single" w:sz="6" w:space="1" w:color="000000"/>
        </w:pBdr>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r>
    </w:p>
    <w:p>
      <w:pPr>
        <w:pStyle w:val="Heading1"/>
        <w:ind w:hanging="0" w:start="0"/>
        <w:rPr/>
      </w:pPr>
      <w:r>
        <w:rPr/>
        <w:t>Example 1:  Producer</w:t>
      </w:r>
    </w:p>
    <w:p>
      <w:pPr>
        <w:pStyle w:val="Normal"/>
        <w:tabs>
          <w:tab w:val="clear" w:pos="720"/>
          <w:tab w:val="right" w:pos="8640" w:leader="none"/>
        </w:tabs>
        <w:jc w:val="both"/>
        <w:rPr>
          <w:sz w:val="22"/>
        </w:rPr>
      </w:pPr>
      <w:r>
        <w:rPr>
          <w:sz w:val="22"/>
        </w:rPr>
        <w:t xml:space="preserve">Producer A has a well in South Louisiana that is expected to produce 10,000 MMBtu per day for the next two years at a cost of $1.50 per MMBtu.  In addition, Producer A needs capital to fund a new drilling program and therefore needs to insure that his South Louisiana well is guaranteed to be profitable.  At present, the 24-month NYMEX futures swap is trading $2.00 at $2.05 per MMBtu.  Volatility for the period is 50%.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If Produces A does nothing but sell his gas into the cash market each of the next 24 months, there is a 33% probability that the price he will receive for his gas will be less than his production costs.  To achieve his goal, Producer A should sell the NYMEX swap at the bid ($2.00 per MMBtu), thereby locking in a $0.50 margin per MMBtu (or $3,650,000).  [NOTE: basis risk, options and time value are ignored.]</w:t>
      </w:r>
    </w:p>
    <w:p>
      <w:pPr>
        <w:pStyle w:val="Normal"/>
        <w:pBdr>
          <w:bottom w:val="single" w:sz="6" w:space="1" w:color="000000"/>
        </w:pBdr>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r>
    </w:p>
    <w:p>
      <w:pPr>
        <w:pStyle w:val="Heading1"/>
        <w:ind w:hanging="0" w:start="0"/>
        <w:rPr/>
      </w:pPr>
      <w:r>
        <w:rPr/>
        <w:t xml:space="preserve">Example 2:  Consumer    </w:t>
      </w:r>
    </w:p>
    <w:p>
      <w:pPr>
        <w:pStyle w:val="Normal"/>
        <w:tabs>
          <w:tab w:val="clear" w:pos="720"/>
          <w:tab w:val="right" w:pos="8640" w:leader="none"/>
        </w:tabs>
        <w:jc w:val="both"/>
        <w:rPr>
          <w:sz w:val="22"/>
        </w:rPr>
      </w:pPr>
      <w:r>
        <w:rPr>
          <w:sz w:val="22"/>
        </w:rPr>
        <w:t>Consumer X has a steel mill in Chicago that is expected to consume 20,000 MMBtu per day for the next budget year.  Sales forecast for steel prices and budgeted operating (fixed and variable) costs are projected to be $5.00 and $2.00 per MMBtu equivalent respectively.   Consumer X needs to achieve a 15% Operating Margin per MMBtu equivalent to meet debt requirements and achieve profit targets.  At present, the 12-month NYMEX futures swap is trading $2.20 at $2.25.  Volatility for the period is 40%.</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If Consumer X does nothing but buy his gas from the cash market each of the next 12 months, there is a 50% probability that he will not achieve his necessary targets.  To achieve his targets, Consumer X should buy forward at the offer ($2.25 per MMBtu), thereby locking in a $0.75 margin (or 15% operating margin) per MMBtu (or $5,475,000).  [NOTE: basis risk, options and time value are ignored.]</w:t>
      </w:r>
    </w:p>
    <w:p>
      <w:pPr>
        <w:pStyle w:val="Normal"/>
        <w:pBdr>
          <w:bottom w:val="single" w:sz="6" w:space="1" w:color="000000"/>
        </w:pBdr>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r>
    </w:p>
    <w:p>
      <w:pPr>
        <w:pStyle w:val="Heading1"/>
        <w:ind w:hanging="0" w:start="0"/>
        <w:rPr/>
      </w:pPr>
      <w:r>
        <w:rPr/>
        <w:t>Example 3:  Storage owner</w:t>
      </w:r>
    </w:p>
    <w:p>
      <w:pPr>
        <w:pStyle w:val="Normal"/>
        <w:tabs>
          <w:tab w:val="clear" w:pos="720"/>
          <w:tab w:val="right" w:pos="8640" w:leader="none"/>
        </w:tabs>
        <w:jc w:val="both"/>
        <w:rPr>
          <w:sz w:val="22"/>
        </w:rPr>
      </w:pPr>
      <w:r>
        <w:rPr>
          <w:sz w:val="22"/>
        </w:rPr>
        <w:t>Storage Owner B (SOB) has a gas storage field in Louisiana that has a working gas capacity of 3,100,000 MMBtu and a daily injection/withdrawal rate of 100,000 MMBtu.  The field can only be cycled once per year and presently has no working gas inventory.  The NYMEX futures prices for the next 12 months are as follows.  What hedges could SOB put on to lock in the highest possible seasonal spread?</w:t>
      </w:r>
    </w:p>
    <w:p>
      <w:pPr>
        <w:pStyle w:val="Normal"/>
        <w:tabs>
          <w:tab w:val="clear" w:pos="720"/>
          <w:tab w:val="left" w:pos="900" w:leader="none"/>
          <w:tab w:val="left" w:pos="1650" w:leader="none"/>
          <w:tab w:val="right" w:pos="8640" w:leader="none"/>
        </w:tabs>
        <w:jc w:val="both"/>
        <w:rPr>
          <w:sz w:val="22"/>
        </w:rPr>
      </w:pPr>
      <w:r>
        <w:rPr>
          <w:sz w:val="22"/>
        </w:rPr>
        <w:t>Month</w:t>
        <w:tab/>
        <w:t>Bid</w:t>
        <w:tab/>
        <w:t xml:space="preserve">   Offer</w:t>
      </w:r>
    </w:p>
    <w:p>
      <w:pPr>
        <w:pStyle w:val="Normal"/>
        <w:tabs>
          <w:tab w:val="clear" w:pos="720"/>
          <w:tab w:val="left" w:pos="900" w:leader="none"/>
          <w:tab w:val="left" w:pos="1800" w:leader="none"/>
          <w:tab w:val="right" w:pos="8640" w:leader="none"/>
        </w:tabs>
        <w:jc w:val="both"/>
        <w:rPr>
          <w:sz w:val="22"/>
        </w:rPr>
      </w:pPr>
      <w:r>
        <w:rPr>
          <w:sz w:val="22"/>
        </w:rPr>
        <w:t xml:space="preserve">Apr </w:t>
        <w:tab/>
        <w:t>$1.98</w:t>
        <w:tab/>
        <w:t>$2.00</w:t>
        <w:tab/>
      </w:r>
    </w:p>
    <w:p>
      <w:pPr>
        <w:pStyle w:val="Normal"/>
        <w:tabs>
          <w:tab w:val="clear" w:pos="720"/>
          <w:tab w:val="left" w:pos="900" w:leader="none"/>
          <w:tab w:val="left" w:pos="1800" w:leader="none"/>
          <w:tab w:val="right" w:pos="8640" w:leader="none"/>
        </w:tabs>
        <w:jc w:val="both"/>
        <w:rPr>
          <w:sz w:val="22"/>
        </w:rPr>
      </w:pPr>
      <w:r>
        <w:rPr>
          <w:sz w:val="22"/>
        </w:rPr>
        <w:t>May</w:t>
        <w:tab/>
        <w:t>$1.78</w:t>
        <w:tab/>
        <w:t>$1.80</w:t>
      </w:r>
    </w:p>
    <w:p>
      <w:pPr>
        <w:pStyle w:val="Normal"/>
        <w:tabs>
          <w:tab w:val="clear" w:pos="720"/>
          <w:tab w:val="left" w:pos="900" w:leader="none"/>
          <w:tab w:val="left" w:pos="1800" w:leader="none"/>
          <w:tab w:val="right" w:pos="8640" w:leader="none"/>
        </w:tabs>
        <w:jc w:val="both"/>
        <w:rPr>
          <w:sz w:val="22"/>
        </w:rPr>
      </w:pPr>
      <w:r>
        <w:rPr>
          <w:sz w:val="22"/>
        </w:rPr>
        <w:t>Jun</w:t>
        <w:tab/>
        <w:t>$1.88</w:t>
        <w:tab/>
        <w:t>$1.90</w:t>
      </w:r>
    </w:p>
    <w:p>
      <w:pPr>
        <w:pStyle w:val="Normal"/>
        <w:tabs>
          <w:tab w:val="clear" w:pos="720"/>
          <w:tab w:val="left" w:pos="900" w:leader="none"/>
          <w:tab w:val="left" w:pos="1800" w:leader="none"/>
          <w:tab w:val="right" w:pos="8640" w:leader="none"/>
        </w:tabs>
        <w:jc w:val="both"/>
        <w:rPr>
          <w:sz w:val="22"/>
        </w:rPr>
      </w:pPr>
      <w:r>
        <w:rPr>
          <w:sz w:val="22"/>
        </w:rPr>
        <w:t>Jul</w:t>
        <w:tab/>
        <w:t>$1.98</w:t>
        <w:tab/>
        <w:t>$2.00</w:t>
      </w:r>
    </w:p>
    <w:p>
      <w:pPr>
        <w:pStyle w:val="Normal"/>
        <w:tabs>
          <w:tab w:val="clear" w:pos="720"/>
          <w:tab w:val="left" w:pos="900" w:leader="none"/>
          <w:tab w:val="left" w:pos="1800" w:leader="none"/>
          <w:tab w:val="right" w:pos="8640" w:leader="none"/>
        </w:tabs>
        <w:jc w:val="both"/>
        <w:rPr>
          <w:sz w:val="22"/>
        </w:rPr>
      </w:pPr>
      <w:r>
        <w:rPr>
          <w:sz w:val="22"/>
        </w:rPr>
        <w:t>Aug</w:t>
        <w:tab/>
        <w:t>$1.98</w:t>
        <w:tab/>
        <w:t>$2.00</w:t>
      </w:r>
    </w:p>
    <w:p>
      <w:pPr>
        <w:pStyle w:val="Normal"/>
        <w:tabs>
          <w:tab w:val="clear" w:pos="720"/>
          <w:tab w:val="left" w:pos="900" w:leader="none"/>
          <w:tab w:val="left" w:pos="1800" w:leader="none"/>
          <w:tab w:val="right" w:pos="8640" w:leader="none"/>
        </w:tabs>
        <w:jc w:val="both"/>
        <w:rPr>
          <w:sz w:val="22"/>
        </w:rPr>
      </w:pPr>
      <w:r>
        <w:rPr>
          <w:sz w:val="22"/>
        </w:rPr>
        <w:t>Sep</w:t>
        <w:tab/>
        <w:t>$1.93</w:t>
        <w:tab/>
        <w:t>$1.95</w:t>
      </w:r>
    </w:p>
    <w:p>
      <w:pPr>
        <w:pStyle w:val="Normal"/>
        <w:tabs>
          <w:tab w:val="clear" w:pos="720"/>
          <w:tab w:val="left" w:pos="900" w:leader="none"/>
          <w:tab w:val="left" w:pos="1800" w:leader="none"/>
          <w:tab w:val="right" w:pos="8640" w:leader="none"/>
        </w:tabs>
        <w:jc w:val="both"/>
        <w:rPr>
          <w:sz w:val="22"/>
        </w:rPr>
      </w:pPr>
      <w:r>
        <w:rPr>
          <w:sz w:val="22"/>
        </w:rPr>
        <w:t>Oct</w:t>
        <w:tab/>
        <w:t>$1.88</w:t>
        <w:tab/>
        <w:t>$1.90</w:t>
      </w:r>
    </w:p>
    <w:p>
      <w:pPr>
        <w:pStyle w:val="Normal"/>
        <w:tabs>
          <w:tab w:val="clear" w:pos="720"/>
          <w:tab w:val="left" w:pos="900" w:leader="none"/>
          <w:tab w:val="left" w:pos="1800" w:leader="none"/>
          <w:tab w:val="right" w:pos="8640" w:leader="none"/>
        </w:tabs>
        <w:jc w:val="both"/>
        <w:rPr>
          <w:sz w:val="22"/>
        </w:rPr>
      </w:pPr>
      <w:r>
        <w:rPr>
          <w:sz w:val="22"/>
        </w:rPr>
        <w:t>Nov</w:t>
        <w:tab/>
        <w:t>$2.10</w:t>
        <w:tab/>
        <w:t>$2.12</w:t>
      </w:r>
    </w:p>
    <w:p>
      <w:pPr>
        <w:pStyle w:val="Normal"/>
        <w:tabs>
          <w:tab w:val="clear" w:pos="720"/>
          <w:tab w:val="left" w:pos="900" w:leader="none"/>
          <w:tab w:val="left" w:pos="1800" w:leader="none"/>
          <w:tab w:val="right" w:pos="8640" w:leader="none"/>
        </w:tabs>
        <w:jc w:val="both"/>
        <w:rPr>
          <w:sz w:val="22"/>
        </w:rPr>
      </w:pPr>
      <w:r>
        <w:rPr>
          <w:sz w:val="22"/>
        </w:rPr>
        <w:t>Dec</w:t>
        <w:tab/>
        <w:t>$2.20</w:t>
        <w:tab/>
        <w:t>$2.22</w:t>
      </w:r>
    </w:p>
    <w:p>
      <w:pPr>
        <w:pStyle w:val="Normal"/>
        <w:tabs>
          <w:tab w:val="clear" w:pos="720"/>
          <w:tab w:val="left" w:pos="900" w:leader="none"/>
          <w:tab w:val="left" w:pos="1800" w:leader="none"/>
          <w:tab w:val="right" w:pos="8640" w:leader="none"/>
        </w:tabs>
        <w:jc w:val="both"/>
        <w:rPr>
          <w:sz w:val="22"/>
        </w:rPr>
      </w:pPr>
      <w:r>
        <w:rPr>
          <w:sz w:val="22"/>
        </w:rPr>
        <w:t>Jan</w:t>
        <w:tab/>
        <w:t>$2.30</w:t>
        <w:tab/>
        <w:t>$2.32</w:t>
      </w:r>
    </w:p>
    <w:p>
      <w:pPr>
        <w:pStyle w:val="Normal"/>
        <w:tabs>
          <w:tab w:val="clear" w:pos="720"/>
          <w:tab w:val="left" w:pos="900" w:leader="none"/>
          <w:tab w:val="left" w:pos="1800" w:leader="none"/>
          <w:tab w:val="right" w:pos="8640" w:leader="none"/>
        </w:tabs>
        <w:jc w:val="both"/>
        <w:rPr>
          <w:sz w:val="22"/>
        </w:rPr>
      </w:pPr>
      <w:r>
        <w:rPr>
          <w:sz w:val="22"/>
        </w:rPr>
        <w:t>Feb</w:t>
        <w:tab/>
        <w:t>$2.20</w:t>
        <w:tab/>
        <w:t>$2.22</w:t>
      </w:r>
    </w:p>
    <w:p>
      <w:pPr>
        <w:pStyle w:val="Normal"/>
        <w:tabs>
          <w:tab w:val="clear" w:pos="720"/>
          <w:tab w:val="left" w:pos="900" w:leader="none"/>
          <w:tab w:val="left" w:pos="1800" w:leader="none"/>
          <w:tab w:val="right" w:pos="8640" w:leader="none"/>
        </w:tabs>
        <w:jc w:val="both"/>
        <w:rPr>
          <w:sz w:val="22"/>
        </w:rPr>
      </w:pPr>
      <w:r>
        <w:rPr>
          <w:sz w:val="22"/>
        </w:rPr>
        <w:t>Mar</w:t>
        <w:tab/>
        <w:t>$2.10</w:t>
        <w:tab/>
        <w:t>$2.12</w:t>
      </w:r>
    </w:p>
    <w:p>
      <w:pPr>
        <w:pStyle w:val="Normal"/>
        <w:tabs>
          <w:tab w:val="clear" w:pos="720"/>
          <w:tab w:val="left" w:pos="900" w:leader="none"/>
          <w:tab w:val="left" w:pos="1425" w:leader="none"/>
          <w:tab w:val="right" w:pos="8640" w:leader="none"/>
        </w:tabs>
        <w:jc w:val="both"/>
        <w:rPr>
          <w:sz w:val="22"/>
        </w:rPr>
      </w:pPr>
      <w:r>
        <w:rPr>
          <w:sz w:val="22"/>
        </w:rPr>
      </w:r>
    </w:p>
    <w:p>
      <w:pPr>
        <w:pStyle w:val="Normal"/>
        <w:pBdr>
          <w:bottom w:val="single" w:sz="6" w:space="1" w:color="000000"/>
        </w:pBdr>
        <w:tabs>
          <w:tab w:val="clear" w:pos="720"/>
          <w:tab w:val="left" w:pos="900" w:leader="none"/>
          <w:tab w:val="left" w:pos="1425" w:leader="none"/>
          <w:tab w:val="right" w:pos="8640" w:leader="none"/>
        </w:tabs>
        <w:jc w:val="both"/>
        <w:rPr>
          <w:sz w:val="22"/>
        </w:rPr>
      </w:pPr>
      <w:r>
        <w:rPr>
          <w:sz w:val="22"/>
        </w:rPr>
        <w:t>SOB should buy forward May at the $1.80/MMBtu offer and sell forward Jan at the $2.30 bid, thereby locking in a seasonal spread of $0.50 per MMBtu (or $1,550,000).  [NOTE: basis risk, options and time value are ignored.]</w:t>
        <w:tab/>
      </w:r>
    </w:p>
    <w:p>
      <w:pPr>
        <w:pStyle w:val="Normal"/>
        <w:pBdr>
          <w:bottom w:val="single" w:sz="6" w:space="1" w:color="000000"/>
        </w:pBdr>
        <w:tabs>
          <w:tab w:val="clear" w:pos="720"/>
          <w:tab w:val="left" w:pos="900" w:leader="none"/>
          <w:tab w:val="left" w:pos="1425" w:leader="none"/>
          <w:tab w:val="right" w:pos="8640" w:leader="none"/>
        </w:tabs>
        <w:jc w:val="both"/>
        <w:rPr>
          <w:sz w:val="22"/>
        </w:rPr>
      </w:pPr>
      <w:r>
        <w:rPr>
          <w:sz w:val="22"/>
        </w:rPr>
      </w:r>
    </w:p>
    <w:p>
      <w:pPr>
        <w:pStyle w:val="Normal"/>
        <w:tabs>
          <w:tab w:val="clear" w:pos="720"/>
          <w:tab w:val="right" w:pos="8640" w:leader="none"/>
        </w:tabs>
        <w:jc w:val="both"/>
        <w:rPr>
          <w:b/>
          <w:bCs w:val="false"/>
          <w:sz w:val="22"/>
        </w:rPr>
      </w:pPr>
      <w:r>
        <w:rPr>
          <w:b/>
          <w:bCs w:val="false"/>
          <w:sz w:val="22"/>
        </w:rPr>
      </w:r>
    </w:p>
    <w:p>
      <w:pPr>
        <w:pStyle w:val="Normal"/>
        <w:tabs>
          <w:tab w:val="clear" w:pos="720"/>
          <w:tab w:val="right" w:pos="8640" w:leader="none"/>
        </w:tabs>
        <w:jc w:val="both"/>
        <w:rPr/>
      </w:pPr>
      <w:r>
        <w:rPr>
          <w:b/>
          <w:bCs w:val="false"/>
          <w:sz w:val="22"/>
        </w:rPr>
        <w:t xml:space="preserve">Basis </w:t>
      </w:r>
      <w:r>
        <w:rPr>
          <w:sz w:val="22"/>
        </w:rPr>
        <w:t xml:space="preserve">represents the price differential between commodity prices at different geographic locations.  </w:t>
      </w:r>
      <w:r>
        <w:rPr>
          <w:b/>
          <w:bCs w:val="false"/>
          <w:sz w:val="22"/>
        </w:rPr>
        <w:t xml:space="preserve">Basis Risk </w:t>
      </w:r>
      <w:r>
        <w:rPr>
          <w:sz w:val="22"/>
        </w:rPr>
        <w:t>is the degree of price exposure associated with an unexpected increase or decrease of basis between the time a hedge position is established and the time that it is removed.  Basis risk is a factor that must be considered and quantified before a hedge is established.  It is possible that basis risk in a hedge position may equal or exceed the price risk that one is attempting to avoid.  In the case of natural gas, basis risk is influenced by differences in the cost of transportation and location-specific factors such as local supply and demand.</w:t>
      </w:r>
    </w:p>
    <w:p>
      <w:pPr>
        <w:pStyle w:val="Normal"/>
        <w:tabs>
          <w:tab w:val="clear" w:pos="720"/>
          <w:tab w:val="right" w:pos="8640" w:leader="none"/>
        </w:tabs>
        <w:jc w:val="both"/>
        <w:rPr>
          <w:sz w:val="22"/>
        </w:rPr>
      </w:pPr>
      <w:r>
        <w:rPr>
          <w:rFonts w:eastAsia="Arial"/>
          <w:b/>
          <w:bCs w:val="false"/>
          <w:sz w:val="22"/>
        </w:rPr>
        <w:t xml:space="preserve"> </w:t>
      </w:r>
    </w:p>
    <w:p>
      <w:pPr>
        <w:pStyle w:val="Heading1"/>
        <w:ind w:hanging="0" w:start="0"/>
        <w:rPr/>
      </w:pPr>
      <w:r>
        <w:rPr/>
        <w:t>Example 4:  Producer</w:t>
      </w:r>
    </w:p>
    <w:p>
      <w:pPr>
        <w:pStyle w:val="Normal"/>
        <w:tabs>
          <w:tab w:val="clear" w:pos="720"/>
          <w:tab w:val="right" w:pos="8640" w:leader="none"/>
        </w:tabs>
        <w:jc w:val="both"/>
        <w:rPr>
          <w:sz w:val="22"/>
        </w:rPr>
      </w:pPr>
      <w:r>
        <w:rPr>
          <w:sz w:val="22"/>
        </w:rPr>
        <w:t xml:space="preserve">Earlier in Example 1, Producer A elected to sell the NYMEX swap at the bid ($2.00 per MMBtu), thereby “locking in” a $0.50 margin per MMBtu (or $3,650,000).  For the first several months of the deal, the basis relationship between South LA spot and NYMEX has roughly $0.00, with futures and cash prices being roughly equivalent.  As such, the margin target has been achieved each month to date.  </w:t>
      </w:r>
    </w:p>
    <w:p>
      <w:pPr>
        <w:pStyle w:val="Normal"/>
        <w:tabs>
          <w:tab w:val="clear" w:pos="720"/>
          <w:tab w:val="right" w:pos="8640" w:leader="none"/>
        </w:tabs>
        <w:jc w:val="both"/>
        <w:rPr>
          <w:sz w:val="22"/>
        </w:rPr>
      </w:pPr>
      <w:r>
        <w:rPr>
          <w:sz w:val="22"/>
        </w:rPr>
      </w:r>
    </w:p>
    <w:p>
      <w:pPr>
        <w:pStyle w:val="Normal"/>
        <w:tabs>
          <w:tab w:val="clear" w:pos="720"/>
          <w:tab w:val="right" w:pos="8640" w:leader="none"/>
        </w:tabs>
        <w:jc w:val="both"/>
        <w:rPr>
          <w:sz w:val="22"/>
        </w:rPr>
      </w:pPr>
      <w:r>
        <w:rPr>
          <w:sz w:val="22"/>
        </w:rPr>
        <w:t xml:space="preserve">However, during August bid-week for September flow, a Hurricane came through the area where Producer A’s well is located and completely wiped out the large processing plant and the above ground pipe that delivers the production from the gathering system to the liquid trading point, thereby limiting capacity to market and severely depressing spot prices at the specific location of Producer A’s production.  The September NYMEX contract settled at $2.30, with Producer A paying out a net $0.30/MMBtu ($2.30 - 2.00).  September spot settled at $1.70.  Producer A netted $1.40 ($2.00 + $1.70 - $2.30), or a net loss of $0.10/MMBtu ($1.40 - $1.50). </w:t>
      </w:r>
    </w:p>
    <w:p>
      <w:pPr>
        <w:pStyle w:val="Normal"/>
        <w:tabs>
          <w:tab w:val="clear" w:pos="720"/>
          <w:tab w:val="right" w:pos="8640" w:leader="none"/>
        </w:tabs>
        <w:jc w:val="both"/>
        <w:rPr>
          <w:sz w:val="22"/>
        </w:rPr>
      </w:pPr>
      <w:r>
        <w:rPr>
          <w:sz w:val="22"/>
        </w:rPr>
      </w:r>
    </w:p>
    <w:p>
      <w:pPr>
        <w:pStyle w:val="Heading1"/>
        <w:ind w:hanging="0" w:start="0"/>
        <w:rPr/>
      </w:pPr>
      <w:r>
        <w:rPr/>
        <w:t>Example 5:  Producer</w:t>
      </w:r>
    </w:p>
    <w:p>
      <w:pPr>
        <w:pStyle w:val="BodyText2"/>
        <w:rPr/>
      </w:pPr>
      <w:r>
        <w:rPr/>
        <w:t>At the time Producer A sold the NYMEX swap, the 2-year South LA basis swap was trading at $0.00/MMBtu.  If Producer A had sold a basis swap at the same time he sold the NYMEX swap, the outcome in Example 4 would have been as follows:</w:t>
      </w:r>
    </w:p>
    <w:p>
      <w:pPr>
        <w:pStyle w:val="BodyText2"/>
        <w:tabs>
          <w:tab w:val="left" w:pos="4275" w:leader="none"/>
          <w:tab w:val="left" w:pos="5550" w:leader="none"/>
          <w:tab w:val="right" w:pos="8640" w:leader="none"/>
        </w:tabs>
        <w:rPr/>
      </w:pPr>
      <w:r>
        <w:rPr/>
        <w:t>NYMEX swap liquidation:</w:t>
        <w:tab/>
        <w:t>($0.30)</w:t>
        <w:tab/>
        <w:t>$2.00 - $2.30</w:t>
      </w:r>
    </w:p>
    <w:p>
      <w:pPr>
        <w:pStyle w:val="BodyText2"/>
        <w:tabs>
          <w:tab w:val="left" w:pos="4275" w:leader="none"/>
          <w:tab w:val="left" w:pos="5550" w:leader="none"/>
          <w:tab w:val="right" w:pos="8640" w:leader="none"/>
        </w:tabs>
        <w:rPr/>
      </w:pPr>
      <w:r>
        <w:rPr/>
        <w:t>Basis swap liquidation:</w:t>
        <w:tab/>
        <w:t xml:space="preserve"> $0.60</w:t>
        <w:tab/>
        <w:t>$0.00 - ($0.60)</w:t>
      </w:r>
    </w:p>
    <w:p>
      <w:pPr>
        <w:pStyle w:val="BodyText2"/>
        <w:tabs>
          <w:tab w:val="left" w:pos="4275" w:leader="none"/>
          <w:tab w:val="left" w:pos="5550" w:leader="none"/>
          <w:tab w:val="right" w:pos="8640" w:leader="none"/>
        </w:tabs>
        <w:rPr/>
      </w:pPr>
      <w:r>
        <w:rPr/>
        <w:t>Spot Price:</w:t>
        <w:tab/>
      </w:r>
      <w:r>
        <w:rPr>
          <w:u w:val="single"/>
        </w:rPr>
        <w:t xml:space="preserve"> $1.70</w:t>
      </w:r>
    </w:p>
    <w:p>
      <w:pPr>
        <w:pStyle w:val="BodyText2"/>
        <w:tabs>
          <w:tab w:val="left" w:pos="4275" w:leader="none"/>
          <w:tab w:val="left" w:pos="5550" w:leader="none"/>
          <w:tab w:val="right" w:pos="8640" w:leader="none"/>
        </w:tabs>
        <w:rPr/>
      </w:pPr>
      <w:r>
        <w:rPr/>
        <w:t>Total:</w:t>
        <w:tab/>
        <w:t xml:space="preserve"> $2.00</w:t>
      </w:r>
    </w:p>
    <w:p>
      <w:pPr>
        <w:pStyle w:val="BodyText2"/>
        <w:tabs>
          <w:tab w:val="left" w:pos="4275" w:leader="none"/>
          <w:tab w:val="left" w:pos="5550" w:leader="none"/>
          <w:tab w:val="right" w:pos="8640" w:leader="none"/>
        </w:tabs>
        <w:rPr/>
      </w:pPr>
      <w:r>
        <w:rPr/>
        <w:t>Margin:</w:t>
        <w:tab/>
        <w:t xml:space="preserve"> $0.50</w:t>
        <w:tab/>
        <w:t>$2.00 - $1.50</w:t>
      </w:r>
    </w:p>
    <w:sectPr>
      <w:type w:val="nextPage"/>
      <w:pgSz w:w="12240" w:h="15840"/>
      <w:pgMar w:left="1800" w:right="1800" w:gutter="0" w:header="0" w:top="1440" w:footer="0" w:bottom="1440"/>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40"/>
        </w:tabs>
        <w:ind w:start="8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iC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8640" w:leader="none"/>
      </w:tabs>
      <w:jc w:val="both"/>
      <w:outlineLvl w:val="0"/>
    </w:pPr>
    <w:rPr>
      <w:b/>
      <w:bCs w:val="false"/>
      <w:sz w:val="22"/>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pPr>
    <w:rPr>
      <w:rFonts w:ascii="Times New Roman" w:hAnsi="Times New Roman" w:cs="Times New Roman"/>
      <w:bCs w:val="false"/>
      <w:iCs w:val="fals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right" w:pos="8640" w:leader="none"/>
      </w:tabs>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2001-10-22T12:44:00Z</dcterms:created>
  <dc:creator>Ed McMichael</dc:creator>
  <dc:description/>
  <dc:language>en-CA</dc:language>
  <cp:lastModifiedBy>pfissle</cp:lastModifiedBy>
  <dcterms:modified xsi:type="dcterms:W3CDTF">2001-10-23T18:52:00Z</dcterms:modified>
  <cp:revision>4</cp:revision>
  <dc:subject/>
  <dc:title>Volatility is a statistical measure of how much price is expected to change</dc:title>
</cp:coreProperties>
</file>