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u w:val="single"/>
        </w:rPr>
        <w:t>Enron Platform</w:t>
      </w:r>
      <w:r>
        <w:rPr/>
        <w:t xml:space="preserve"> means the proprietary electronic trading facility owned or operated by Enron through the website currently located at www.enrononline.com, and any other electronic trading facility owned and operated by Enron or its Affiliates through which Enron or its Affiliates purchase or sell any product, service or commodity that Enron purchases or sells through EnronOnline at any time during the Term, but shall not include any electronic trading platform or facility owned and operated by Enron or its Affiliates and formed or acquired after the Effective Date through which Enron or its Affiliates purchase or sell products, services or commodities or conduct other businesses that are substantially dissimilar to products, services or commodities purchased or sold through or business conducted upon EnronOnline on the Effective Date.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2001-06-04T10:03:00Z</dcterms:created>
  <dc:creator>Travis McCullough</dc:creator>
  <dc:description/>
  <dc:language>en-CA</dc:language>
  <cp:lastModifiedBy>Travis McCullough</cp:lastModifiedBy>
  <cp:lastPrinted>2001-06-04T08:02:00Z</cp:lastPrinted>
  <dcterms:modified xsi:type="dcterms:W3CDTF">2001-06-04T10:33:00Z</dcterms:modified>
  <cp:revision>1</cp:revision>
  <dc:subject/>
  <dc:title>Enron Platform means the proprietary electronic trading facility owned or operated by Enron through the website currently loca</dc:title>
</cp:coreProperties>
</file>