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Normal"/>
        <w:rPr>
          <w:rFonts w:ascii="Arial Black" w:hAnsi="Arial Black" w:cs="Arial Black"/>
          <w:b/>
          <w:sz w:val="16"/>
        </w:rPr>
      </w:pPr>
      <w:r>
        <w:rPr>
          <w:rFonts w:cs="Arial Black" w:ascii="Arial Black" w:hAnsi="Arial Black"/>
          <w:b/>
          <w:sz w:val="16"/>
        </w:rPr>
      </w:r>
    </w:p>
    <w:p>
      <w:pPr>
        <w:pStyle w:val="Normal"/>
        <w:numPr>
          <w:ilvl w:val="0"/>
          <w:numId w:val="0"/>
        </w:numPr>
        <w:outlineLvl w:val="0"/>
        <w:rPr>
          <w:b/>
          <w:sz w:val="32"/>
          <w:u w:val="single"/>
        </w:rPr>
      </w:pPr>
      <w:r>
        <w:rPr>
          <w:rFonts w:cs="Arial Black" w:ascii="Arial Black" w:hAnsi="Arial Black"/>
          <w:b/>
          <w:sz w:val="16"/>
        </w:rPr>
        <w:t>Endless Possibilities</w:t>
        <w:tab/>
        <w:tab/>
        <w:tab/>
        <w:tab/>
        <w:tab/>
        <w:tab/>
        <w:tab/>
      </w:r>
    </w:p>
    <w:p>
      <w:pPr>
        <w:pStyle w:val="Normal"/>
        <w:ind w:start="6390" w:end="0"/>
        <w:rPr>
          <w:b/>
          <w:sz w:val="32"/>
          <w:u w:val="single"/>
        </w:rPr>
      </w:pPr>
      <w:r>
        <w:rPr>
          <w:b/>
          <w:sz w:val="32"/>
          <w:u w:val="single"/>
        </w:rPr>
      </w:r>
    </w:p>
    <w:tbl>
      <w:tblPr>
        <w:tblW w:w="9828" w:type="dxa"/>
        <w:jc w:val="start"/>
        <w:tblInd w:w="0" w:type="dxa"/>
        <w:tblLayout w:type="fixed"/>
        <w:tblCellMar>
          <w:top w:w="0" w:type="dxa"/>
          <w:start w:w="108" w:type="dxa"/>
          <w:bottom w:w="0" w:type="dxa"/>
          <w:end w:w="108" w:type="dxa"/>
        </w:tblCellMar>
      </w:tblPr>
      <w:tblGrid>
        <w:gridCol w:w="1569"/>
        <w:gridCol w:w="3762"/>
        <w:gridCol w:w="1887"/>
        <w:gridCol w:w="261"/>
        <w:gridCol w:w="2169"/>
        <w:gridCol w:w="180"/>
      </w:tblGrid>
      <w:tr>
        <w:trPr/>
        <w:tc>
          <w:tcPr>
            <w:tcW w:w="1569" w:type="dxa"/>
            <w:tcBorders/>
          </w:tcPr>
          <w:p>
            <w:pPr>
              <w:pStyle w:val="Normal"/>
              <w:rPr>
                <w:b/>
              </w:rPr>
            </w:pPr>
            <w:r>
              <w:rPr>
                <w:b/>
              </w:rPr>
              <w:t>TO:</w:t>
            </w:r>
          </w:p>
        </w:tc>
        <w:tc>
          <w:tcPr>
            <w:tcW w:w="3762" w:type="dxa"/>
            <w:tcBorders/>
          </w:tcPr>
          <w:p>
            <w:pPr>
              <w:pStyle w:val="Normal"/>
              <w:rPr/>
            </w:pPr>
            <w:r>
              <w:rPr/>
              <w:t>Peggy Kostial</w:t>
            </w:r>
          </w:p>
          <w:p>
            <w:pPr>
              <w:pStyle w:val="Normal"/>
              <w:rPr/>
            </w:pPr>
            <w:r>
              <w:rPr/>
              <w:t>Mike Urtso</w:t>
            </w:r>
          </w:p>
          <w:p>
            <w:pPr>
              <w:pStyle w:val="Normal"/>
              <w:rPr/>
            </w:pPr>
            <w:r>
              <w:rPr/>
              <w:t>Brian Henchey</w:t>
            </w:r>
          </w:p>
          <w:p>
            <w:pPr>
              <w:pStyle w:val="Normal"/>
              <w:rPr/>
            </w:pPr>
            <w:r>
              <w:rPr/>
            </w:r>
          </w:p>
        </w:tc>
        <w:tc>
          <w:tcPr>
            <w:tcW w:w="2148" w:type="dxa"/>
            <w:gridSpan w:val="2"/>
            <w:tcBorders/>
          </w:tcPr>
          <w:p>
            <w:pPr>
              <w:pStyle w:val="Normal"/>
              <w:snapToGrid w:val="false"/>
              <w:rPr/>
            </w:pPr>
            <w:r>
              <w:rPr/>
            </w:r>
          </w:p>
        </w:tc>
        <w:tc>
          <w:tcPr>
            <w:tcW w:w="2169" w:type="dxa"/>
            <w:tcBorders/>
          </w:tcPr>
          <w:p>
            <w:pPr>
              <w:pStyle w:val="Normal"/>
              <w:snapToGrid w:val="false"/>
              <w:rPr/>
            </w:pPr>
            <w:r>
              <w:rPr/>
            </w:r>
          </w:p>
        </w:tc>
        <w:tc>
          <w:tcPr>
            <w:tcW w:w="180" w:type="dxa"/>
            <w:tcBorders/>
            <w:tcMar>
              <w:start w:w="0" w:type="dxa"/>
              <w:end w:w="0" w:type="dxa"/>
            </w:tcMar>
          </w:tcPr>
          <w:p>
            <w:pPr>
              <w:pStyle w:val="Normal"/>
              <w:snapToGrid w:val="false"/>
              <w:rPr/>
            </w:pPr>
            <w:r>
              <w:rPr/>
            </w:r>
          </w:p>
        </w:tc>
      </w:tr>
      <w:tr>
        <w:trPr/>
        <w:tc>
          <w:tcPr>
            <w:tcW w:w="1569" w:type="dxa"/>
            <w:tcBorders/>
          </w:tcPr>
          <w:p>
            <w:pPr>
              <w:pStyle w:val="Normal"/>
              <w:rPr>
                <w:b/>
              </w:rPr>
            </w:pPr>
            <w:r>
              <w:rPr>
                <w:b/>
              </w:rPr>
              <w:t>FROM:</w:t>
            </w:r>
          </w:p>
        </w:tc>
        <w:tc>
          <w:tcPr>
            <w:tcW w:w="3762" w:type="dxa"/>
            <w:tcBorders/>
          </w:tcPr>
          <w:p>
            <w:pPr>
              <w:pStyle w:val="Normal"/>
              <w:rPr/>
            </w:pPr>
            <w:r>
              <w:rPr/>
              <w:t>Travis McCullough</w:t>
            </w:r>
          </w:p>
        </w:tc>
        <w:tc>
          <w:tcPr>
            <w:tcW w:w="2148" w:type="dxa"/>
            <w:gridSpan w:val="2"/>
            <w:tcBorders/>
          </w:tcPr>
          <w:p>
            <w:pPr>
              <w:pStyle w:val="Normal"/>
              <w:rPr>
                <w:b/>
              </w:rPr>
            </w:pPr>
            <w:r>
              <w:rPr>
                <w:b/>
              </w:rPr>
              <w:t>DEPARTMENT:</w:t>
            </w:r>
          </w:p>
        </w:tc>
        <w:tc>
          <w:tcPr>
            <w:tcW w:w="2169" w:type="dxa"/>
            <w:tcBorders/>
          </w:tcPr>
          <w:p>
            <w:pPr>
              <w:pStyle w:val="Normal"/>
              <w:rPr/>
            </w:pPr>
            <w:r>
              <w:rPr/>
              <w:t>ENA Legal</w:t>
            </w:r>
          </w:p>
        </w:tc>
        <w:tc>
          <w:tcPr>
            <w:tcW w:w="180" w:type="dxa"/>
            <w:tcBorders/>
            <w:tcMar>
              <w:start w:w="0" w:type="dxa"/>
              <w:end w:w="0" w:type="dxa"/>
            </w:tcMar>
          </w:tcPr>
          <w:p>
            <w:pPr>
              <w:pStyle w:val="Normal"/>
              <w:snapToGrid w:val="false"/>
              <w:rPr/>
            </w:pPr>
            <w:r>
              <w:rPr/>
            </w:r>
          </w:p>
        </w:tc>
      </w:tr>
      <w:tr>
        <w:trPr/>
        <w:tc>
          <w:tcPr>
            <w:tcW w:w="1569" w:type="dxa"/>
            <w:tcBorders/>
          </w:tcPr>
          <w:p>
            <w:pPr>
              <w:pStyle w:val="Normal"/>
              <w:snapToGrid w:val="false"/>
              <w:rPr>
                <w:b/>
              </w:rPr>
            </w:pPr>
            <w:r>
              <w:rPr>
                <w:b/>
              </w:rPr>
            </w:r>
          </w:p>
        </w:tc>
        <w:tc>
          <w:tcPr>
            <w:tcW w:w="3762" w:type="dxa"/>
            <w:tcBorders/>
          </w:tcPr>
          <w:p>
            <w:pPr>
              <w:pStyle w:val="Normal"/>
              <w:snapToGrid w:val="false"/>
              <w:rPr>
                <w:b/>
              </w:rPr>
            </w:pPr>
            <w:r>
              <w:rPr>
                <w:b/>
              </w:rPr>
            </w:r>
          </w:p>
        </w:tc>
        <w:tc>
          <w:tcPr>
            <w:tcW w:w="2148" w:type="dxa"/>
            <w:gridSpan w:val="2"/>
            <w:tcBorders/>
          </w:tcPr>
          <w:p>
            <w:pPr>
              <w:pStyle w:val="Normal"/>
              <w:snapToGrid w:val="false"/>
              <w:rPr>
                <w:b/>
              </w:rPr>
            </w:pPr>
            <w:r>
              <w:rPr>
                <w:b/>
              </w:rPr>
            </w:r>
          </w:p>
        </w:tc>
        <w:tc>
          <w:tcPr>
            <w:tcW w:w="2169" w:type="dxa"/>
            <w:tcBorders/>
          </w:tcPr>
          <w:p>
            <w:pPr>
              <w:pStyle w:val="Normal"/>
              <w:snapToGrid w:val="false"/>
              <w:rPr>
                <w:b/>
              </w:rPr>
            </w:pPr>
            <w:r>
              <w:rPr>
                <w:b/>
              </w:rPr>
            </w:r>
          </w:p>
        </w:tc>
        <w:tc>
          <w:tcPr>
            <w:tcW w:w="180" w:type="dxa"/>
            <w:tcBorders/>
            <w:tcMar>
              <w:start w:w="0" w:type="dxa"/>
              <w:end w:w="0" w:type="dxa"/>
            </w:tcMar>
          </w:tcPr>
          <w:p>
            <w:pPr>
              <w:pStyle w:val="Normal"/>
              <w:snapToGrid w:val="false"/>
              <w:rPr/>
            </w:pPr>
            <w:r>
              <w:rPr/>
            </w:r>
          </w:p>
        </w:tc>
      </w:tr>
      <w:tr>
        <w:trPr/>
        <w:tc>
          <w:tcPr>
            <w:tcW w:w="1569" w:type="dxa"/>
            <w:tcBorders>
              <w:bottom w:val="single" w:sz="18" w:space="0" w:color="000000"/>
            </w:tcBorders>
          </w:tcPr>
          <w:p>
            <w:pPr>
              <w:pStyle w:val="Normal"/>
              <w:rPr>
                <w:b/>
              </w:rPr>
            </w:pPr>
            <w:r>
              <w:rPr>
                <w:b/>
              </w:rPr>
              <w:t>SUBJECT:</w:t>
            </w:r>
          </w:p>
        </w:tc>
        <w:tc>
          <w:tcPr>
            <w:tcW w:w="3762" w:type="dxa"/>
            <w:tcBorders>
              <w:bottom w:val="single" w:sz="18" w:space="0" w:color="000000"/>
            </w:tcBorders>
          </w:tcPr>
          <w:p>
            <w:pPr>
              <w:pStyle w:val="Normal"/>
              <w:rPr/>
            </w:pPr>
            <w:r>
              <w:rPr/>
              <w:t>Accenture TSH Agreement</w:t>
            </w:r>
          </w:p>
        </w:tc>
        <w:tc>
          <w:tcPr>
            <w:tcW w:w="1887" w:type="dxa"/>
            <w:tcBorders>
              <w:bottom w:val="single" w:sz="18" w:space="0" w:color="000000"/>
            </w:tcBorders>
          </w:tcPr>
          <w:p>
            <w:pPr>
              <w:pStyle w:val="Normal"/>
              <w:rPr>
                <w:b/>
              </w:rPr>
            </w:pPr>
            <w:r>
              <w:rPr>
                <w:b/>
              </w:rPr>
              <w:t>DATE:</w:t>
            </w:r>
          </w:p>
        </w:tc>
        <w:tc>
          <w:tcPr>
            <w:tcW w:w="2610" w:type="dxa"/>
            <w:gridSpan w:val="3"/>
            <w:tcBorders>
              <w:bottom w:val="single" w:sz="18" w:space="0" w:color="000000"/>
            </w:tcBorders>
          </w:tcPr>
          <w:p>
            <w:pPr>
              <w:pStyle w:val="Normal"/>
              <w:rPr/>
            </w:pPr>
            <w:r>
              <w:rPr/>
              <w:t>June 1, 2001</w:t>
            </w:r>
          </w:p>
          <w:p>
            <w:pPr>
              <w:pStyle w:val="Normal"/>
              <w:rPr/>
            </w:pPr>
            <w:r>
              <w:rPr/>
            </w:r>
          </w:p>
        </w:tc>
      </w:tr>
    </w:tbl>
    <w:p>
      <w:pPr>
        <w:pStyle w:val="Normal"/>
        <w:tabs>
          <w:tab w:val="clear" w:pos="720"/>
          <w:tab w:val="left" w:pos="1344" w:leader="none"/>
          <w:tab w:val="left" w:pos="5106" w:leader="none"/>
          <w:tab w:val="left" w:pos="7254" w:leader="none"/>
        </w:tabs>
        <w:jc w:val="both"/>
        <w:rPr/>
      </w:pPr>
      <w:r>
        <w:rPr/>
      </w:r>
    </w:p>
    <w:p>
      <w:pPr>
        <w:pStyle w:val="Normal"/>
        <w:tabs>
          <w:tab w:val="clear" w:pos="720"/>
          <w:tab w:val="left" w:pos="1344" w:leader="none"/>
          <w:tab w:val="left" w:pos="5106" w:leader="none"/>
          <w:tab w:val="left" w:pos="7254" w:leader="none"/>
        </w:tabs>
        <w:jc w:val="both"/>
        <w:rPr/>
      </w:pPr>
      <w:r>
        <w:rPr/>
        <w:t>Accompanying this memo is our draft License Agreement for the TSH transaction for your review.  Because the changes from the draft initially provided to us by Accenture were fairly significant, we have not included a draft of our version marked against that document.</w:t>
      </w:r>
    </w:p>
    <w:p>
      <w:pPr>
        <w:pStyle w:val="Normal"/>
        <w:tabs>
          <w:tab w:val="clear" w:pos="720"/>
          <w:tab w:val="left" w:pos="1344" w:leader="none"/>
          <w:tab w:val="left" w:pos="5106" w:leader="none"/>
          <w:tab w:val="left" w:pos="7254" w:leader="none"/>
        </w:tabs>
        <w:jc w:val="both"/>
        <w:rPr/>
      </w:pPr>
      <w:r>
        <w:rPr/>
      </w:r>
    </w:p>
    <w:p>
      <w:pPr>
        <w:pStyle w:val="Normal"/>
        <w:tabs>
          <w:tab w:val="clear" w:pos="720"/>
          <w:tab w:val="left" w:pos="1344" w:leader="none"/>
          <w:tab w:val="left" w:pos="5106" w:leader="none"/>
          <w:tab w:val="left" w:pos="7254" w:leader="none"/>
        </w:tabs>
        <w:jc w:val="both"/>
        <w:rPr/>
      </w:pPr>
      <w:r>
        <w:rPr/>
        <w:t>This memo is intended to explain the more significant changes that we made to Accenture’s document, and to highlight what we have identified as key issues that should be discussed by the working group.  We acknowledge that Accenture may have substantial comments to and questions regarding the attached draft; we did not expect to foreclose those by presenting this draft, but we do believe that this draft will serve to more quickly focus us on the issues.</w:t>
      </w:r>
    </w:p>
    <w:p>
      <w:pPr>
        <w:pStyle w:val="Normal"/>
        <w:tabs>
          <w:tab w:val="clear" w:pos="720"/>
          <w:tab w:val="left" w:pos="1344" w:leader="none"/>
          <w:tab w:val="left" w:pos="5106" w:leader="none"/>
          <w:tab w:val="left" w:pos="7254" w:leader="none"/>
        </w:tabs>
        <w:jc w:val="both"/>
        <w:rPr/>
      </w:pPr>
      <w:r>
        <w:rPr/>
      </w:r>
    </w:p>
    <w:p>
      <w:pPr>
        <w:pStyle w:val="Normal"/>
        <w:tabs>
          <w:tab w:val="clear" w:pos="720"/>
          <w:tab w:val="left" w:pos="1344" w:leader="none"/>
          <w:tab w:val="left" w:pos="5106" w:leader="none"/>
          <w:tab w:val="left" w:pos="7254" w:leader="none"/>
        </w:tabs>
        <w:jc w:val="both"/>
        <w:rPr/>
      </w:pPr>
      <w:r>
        <w:rPr/>
        <w:t xml:space="preserve">You will also note that a number of other changes to the document that are not discussed in this memorandum.  We made a number of changes in order to clarify certain concepts, correct errors, comply with Enron policy, and the like.  Again, we did not intend to foreclose discussion on these points, and we are prepared to discuss any or all of those changes with you. </w:t>
      </w:r>
    </w:p>
    <w:p>
      <w:pPr>
        <w:pStyle w:val="Normal"/>
        <w:tabs>
          <w:tab w:val="clear" w:pos="720"/>
          <w:tab w:val="left" w:pos="1344" w:leader="none"/>
          <w:tab w:val="left" w:pos="5106" w:leader="none"/>
          <w:tab w:val="left" w:pos="7254" w:leader="none"/>
        </w:tabs>
        <w:jc w:val="both"/>
        <w:rPr/>
      </w:pPr>
      <w:r>
        <w:rPr/>
      </w:r>
    </w:p>
    <w:p>
      <w:pPr>
        <w:pStyle w:val="Normal"/>
        <w:tabs>
          <w:tab w:val="clear" w:pos="720"/>
          <w:tab w:val="left" w:pos="1344" w:leader="none"/>
          <w:tab w:val="left" w:pos="5106" w:leader="none"/>
          <w:tab w:val="left" w:pos="7254" w:leader="none"/>
        </w:tabs>
        <w:jc w:val="both"/>
        <w:rPr/>
      </w:pPr>
      <w:r>
        <w:rPr/>
        <w:t xml:space="preserve">Finally, this draft includes the changes to the business transaction that we have previously discussed.  It is entirely possible that further negotiations on those points will be required, or that this draft does not completely capture all of those points, and further negotiation and drafting may be required.  </w:t>
      </w:r>
    </w:p>
    <w:p>
      <w:pPr>
        <w:pStyle w:val="Normal"/>
        <w:tabs>
          <w:tab w:val="clear" w:pos="720"/>
          <w:tab w:val="left" w:pos="1344" w:leader="none"/>
          <w:tab w:val="left" w:pos="5106" w:leader="none"/>
          <w:tab w:val="left" w:pos="7254" w:leader="none"/>
        </w:tabs>
        <w:jc w:val="both"/>
        <w:rPr/>
      </w:pPr>
      <w:r>
        <w:rPr/>
      </w:r>
    </w:p>
    <w:p>
      <w:pPr>
        <w:pStyle w:val="Normal"/>
        <w:tabs>
          <w:tab w:val="clear" w:pos="720"/>
          <w:tab w:val="left" w:pos="1344" w:leader="none"/>
          <w:tab w:val="left" w:pos="5106" w:leader="none"/>
          <w:tab w:val="left" w:pos="7254" w:leader="none"/>
        </w:tabs>
        <w:jc w:val="both"/>
        <w:rPr/>
      </w:pPr>
      <w:r>
        <w:rPr/>
        <w:t>We look forward to meeting with you after you have had an opportunity to review the attached to discuss moving forward with the transaction.</w:t>
      </w:r>
    </w:p>
    <w:p>
      <w:pPr>
        <w:pStyle w:val="Normal"/>
        <w:tabs>
          <w:tab w:val="clear" w:pos="720"/>
          <w:tab w:val="left" w:pos="1344" w:leader="none"/>
          <w:tab w:val="left" w:pos="5106" w:leader="none"/>
          <w:tab w:val="left" w:pos="7254" w:leader="none"/>
        </w:tabs>
        <w:jc w:val="both"/>
        <w:rPr/>
      </w:pPr>
      <w:r>
        <w:rPr/>
      </w:r>
    </w:p>
    <w:p>
      <w:pPr>
        <w:pStyle w:val="Normal"/>
        <w:tabs>
          <w:tab w:val="clear" w:pos="720"/>
          <w:tab w:val="left" w:pos="1344" w:leader="none"/>
          <w:tab w:val="left" w:pos="5106" w:leader="none"/>
          <w:tab w:val="left" w:pos="7254" w:leader="none"/>
        </w:tabs>
        <w:jc w:val="both"/>
        <w:rPr/>
      </w:pPr>
      <w:r>
        <w:rPr/>
      </w:r>
    </w:p>
    <w:p>
      <w:pPr>
        <w:pStyle w:val="Normal"/>
        <w:tabs>
          <w:tab w:val="clear" w:pos="720"/>
          <w:tab w:val="left" w:pos="1344" w:leader="none"/>
          <w:tab w:val="left" w:pos="5106" w:leader="none"/>
          <w:tab w:val="left" w:pos="7254" w:leader="none"/>
        </w:tabs>
        <w:jc w:val="both"/>
        <w:rPr/>
      </w:pPr>
      <w:r>
        <w:rPr/>
      </w:r>
    </w:p>
    <w:p>
      <w:pPr>
        <w:pStyle w:val="Normal"/>
        <w:tabs>
          <w:tab w:val="clear" w:pos="720"/>
          <w:tab w:val="left" w:pos="1344" w:leader="none"/>
          <w:tab w:val="left" w:pos="5106" w:leader="none"/>
          <w:tab w:val="left" w:pos="7254" w:leader="none"/>
        </w:tabs>
        <w:jc w:val="both"/>
        <w:rPr>
          <w:b/>
          <w:bCs/>
        </w:rPr>
      </w:pPr>
      <w:r>
        <w:rPr>
          <w:b/>
          <w:bCs/>
        </w:rPr>
        <w:t>Definitions:</w:t>
      </w:r>
    </w:p>
    <w:p>
      <w:pPr>
        <w:pStyle w:val="Normal"/>
        <w:tabs>
          <w:tab w:val="clear" w:pos="720"/>
          <w:tab w:val="left" w:pos="1344" w:leader="none"/>
          <w:tab w:val="left" w:pos="5106" w:leader="none"/>
          <w:tab w:val="left" w:pos="7254" w:leader="none"/>
        </w:tabs>
        <w:jc w:val="both"/>
        <w:rPr>
          <w:b/>
          <w:bCs/>
          <w:i/>
          <w:i/>
          <w:iCs/>
        </w:rPr>
      </w:pPr>
      <w:r>
        <w:rPr>
          <w:b/>
          <w:bCs/>
          <w:i/>
          <w:iCs/>
        </w:rPr>
      </w:r>
    </w:p>
    <w:p>
      <w:pPr>
        <w:pStyle w:val="Normal"/>
        <w:numPr>
          <w:ilvl w:val="0"/>
          <w:numId w:val="3"/>
        </w:numPr>
        <w:tabs>
          <w:tab w:val="clear" w:pos="720"/>
          <w:tab w:val="left" w:pos="1344" w:leader="none"/>
          <w:tab w:val="left" w:pos="5106" w:leader="none"/>
          <w:tab w:val="left" w:pos="7254" w:leader="none"/>
        </w:tabs>
        <w:jc w:val="both"/>
        <w:rPr/>
      </w:pPr>
      <w:r>
        <w:rPr>
          <w:i/>
          <w:iCs/>
        </w:rPr>
        <w:t>Accenture Customer Agreement.</w:t>
      </w:r>
      <w:r>
        <w:rPr/>
        <w:t xml:space="preserve">  We expect Accenture to offer TSH services to its customers per a formal agreement; Enron has such agreements with its customers as well, and will require customers to sign a consent and release permitting Enron to release customer information to Accenture.  We have made revisions to ensure that all of those contracts are consistent.  </w:t>
      </w:r>
    </w:p>
    <w:p>
      <w:pPr>
        <w:pStyle w:val="Normal"/>
        <w:tabs>
          <w:tab w:val="clear" w:pos="720"/>
          <w:tab w:val="left" w:pos="1344" w:leader="none"/>
          <w:tab w:val="left" w:pos="5106" w:leader="none"/>
          <w:tab w:val="left" w:pos="7254" w:leader="none"/>
        </w:tabs>
        <w:jc w:val="both"/>
        <w:rPr/>
      </w:pPr>
      <w:r>
        <w:rPr/>
      </w:r>
    </w:p>
    <w:p>
      <w:pPr>
        <w:pStyle w:val="Normal"/>
        <w:numPr>
          <w:ilvl w:val="0"/>
          <w:numId w:val="3"/>
        </w:numPr>
        <w:tabs>
          <w:tab w:val="clear" w:pos="720"/>
          <w:tab w:val="left" w:pos="1344" w:leader="none"/>
          <w:tab w:val="left" w:pos="5106" w:leader="none"/>
          <w:tab w:val="left" w:pos="7254" w:leader="none"/>
        </w:tabs>
        <w:jc w:val="both"/>
        <w:rPr/>
      </w:pPr>
      <w:r>
        <w:rPr>
          <w:i/>
          <w:iCs/>
        </w:rPr>
        <w:t>Accenture Operational Failure (and Enron Operational Failure)</w:t>
      </w:r>
      <w:r>
        <w:rPr/>
        <w:t xml:space="preserve"> have been added as bases upon which this Agreement may be terminated; neither party should be obligated to continue performance of this agreement in the face of a catastrophic failure of the other party’s system.</w:t>
      </w:r>
    </w:p>
    <w:p>
      <w:pPr>
        <w:pStyle w:val="Normal"/>
        <w:tabs>
          <w:tab w:val="clear" w:pos="720"/>
          <w:tab w:val="left" w:pos="1344" w:leader="none"/>
          <w:tab w:val="left" w:pos="5106" w:leader="none"/>
          <w:tab w:val="left" w:pos="7254" w:leader="none"/>
        </w:tabs>
        <w:jc w:val="both"/>
        <w:rPr/>
      </w:pPr>
      <w:r>
        <w:rPr/>
      </w:r>
    </w:p>
    <w:p>
      <w:pPr>
        <w:pStyle w:val="Normal"/>
        <w:numPr>
          <w:ilvl w:val="0"/>
          <w:numId w:val="3"/>
        </w:numPr>
        <w:tabs>
          <w:tab w:val="clear" w:pos="720"/>
          <w:tab w:val="left" w:pos="1344" w:leader="none"/>
          <w:tab w:val="left" w:pos="5106" w:leader="none"/>
          <w:tab w:val="left" w:pos="7254" w:leader="none"/>
        </w:tabs>
        <w:jc w:val="both"/>
        <w:rPr/>
      </w:pPr>
      <w:r>
        <w:rPr>
          <w:i/>
          <w:iCs/>
        </w:rPr>
        <w:t>Accenture Regulatory Event (and Enron Regulatory Event)</w:t>
      </w:r>
      <w:r>
        <w:rPr/>
        <w:t xml:space="preserve"> have been added as bases upon which this Agreement may be terminated; neither party should be obligated to continue performance of this agreement if continued performance would make it subject to adverse regulatory action.</w:t>
      </w:r>
    </w:p>
    <w:p>
      <w:pPr>
        <w:pStyle w:val="Normal"/>
        <w:tabs>
          <w:tab w:val="clear" w:pos="720"/>
          <w:tab w:val="left" w:pos="1344" w:leader="none"/>
          <w:tab w:val="left" w:pos="5106" w:leader="none"/>
          <w:tab w:val="left" w:pos="7254" w:leader="none"/>
        </w:tabs>
        <w:jc w:val="both"/>
        <w:rPr/>
      </w:pPr>
      <w:r>
        <w:rPr/>
      </w:r>
    </w:p>
    <w:p>
      <w:pPr>
        <w:pStyle w:val="Normal"/>
        <w:numPr>
          <w:ilvl w:val="0"/>
          <w:numId w:val="3"/>
        </w:numPr>
        <w:tabs>
          <w:tab w:val="clear" w:pos="720"/>
          <w:tab w:val="left" w:pos="1344" w:leader="none"/>
          <w:tab w:val="left" w:pos="5106" w:leader="none"/>
          <w:tab w:val="left" w:pos="7254" w:leader="none"/>
        </w:tabs>
        <w:jc w:val="both"/>
        <w:rPr/>
      </w:pPr>
      <w:r>
        <w:rPr>
          <w:i/>
          <w:iCs/>
        </w:rPr>
        <w:t>Enron Platform:</w:t>
      </w:r>
      <w:r>
        <w:rPr/>
        <w:t xml:space="preserve">  we have tried to address Accenture’s concerns that this Agreement apply to “successors” of EnronOnline.</w:t>
      </w:r>
    </w:p>
    <w:p>
      <w:pPr>
        <w:pStyle w:val="Normal"/>
        <w:tabs>
          <w:tab w:val="clear" w:pos="720"/>
          <w:tab w:val="left" w:pos="1344" w:leader="none"/>
          <w:tab w:val="left" w:pos="5106" w:leader="none"/>
          <w:tab w:val="left" w:pos="7254" w:leader="none"/>
        </w:tabs>
        <w:jc w:val="both"/>
        <w:rPr/>
      </w:pPr>
      <w:r>
        <w:rPr/>
      </w:r>
    </w:p>
    <w:p>
      <w:pPr>
        <w:pStyle w:val="Normal"/>
        <w:numPr>
          <w:ilvl w:val="0"/>
          <w:numId w:val="3"/>
        </w:numPr>
        <w:tabs>
          <w:tab w:val="clear" w:pos="720"/>
          <w:tab w:val="left" w:pos="1344" w:leader="none"/>
          <w:tab w:val="left" w:pos="5106" w:leader="none"/>
          <w:tab w:val="left" w:pos="7254" w:leader="none"/>
        </w:tabs>
        <w:jc w:val="both"/>
        <w:rPr/>
      </w:pPr>
      <w:r>
        <w:rPr>
          <w:i/>
          <w:iCs/>
        </w:rPr>
        <w:t>Real-Time Basis:</w:t>
      </w:r>
      <w:r>
        <w:rPr/>
        <w:t xml:space="preserve">  Primarily because such a substantial portion of Accenture’s ability to receive data in a particular time frame will depend upon factors outside of Enron’s control, we are unable to guarantee delivery within a specified timeframe; we are only able to warrant that we are initiating transmission of data at the same time we are initiating delivery to our customer.</w:t>
      </w:r>
    </w:p>
    <w:p>
      <w:pPr>
        <w:pStyle w:val="Normal"/>
        <w:tabs>
          <w:tab w:val="clear" w:pos="720"/>
          <w:tab w:val="left" w:pos="1344" w:leader="none"/>
          <w:tab w:val="left" w:pos="5106" w:leader="none"/>
          <w:tab w:val="left" w:pos="7254" w:leader="none"/>
        </w:tabs>
        <w:jc w:val="both"/>
        <w:rPr/>
      </w:pPr>
      <w:r>
        <w:rPr/>
      </w:r>
    </w:p>
    <w:p>
      <w:pPr>
        <w:pStyle w:val="Normal"/>
        <w:numPr>
          <w:ilvl w:val="0"/>
          <w:numId w:val="3"/>
        </w:numPr>
        <w:tabs>
          <w:tab w:val="clear" w:pos="720"/>
          <w:tab w:val="left" w:pos="1344" w:leader="none"/>
          <w:tab w:val="left" w:pos="5106" w:leader="none"/>
          <w:tab w:val="left" w:pos="7254" w:leader="none"/>
        </w:tabs>
        <w:jc w:val="both"/>
        <w:rPr/>
      </w:pPr>
      <w:r>
        <w:rPr>
          <w:i/>
          <w:iCs/>
        </w:rPr>
        <w:t>Standard Transaction Fee:</w:t>
      </w:r>
      <w:r>
        <w:rPr/>
        <w:t xml:space="preserve">  We believe that there is substantial upside in the TSH services that was not completely preserved for us with the Minimum Annual Payment, and we believe that we need some assurance that the TSH services will be offered at a market price (or that we are at least compensated as if they were).  For instance, Accenture may decide to “bundle” TSH services with other services offered by Accenture and price those services together; to avoid a dispute with Accenture regarding the pricing of TSH services in such an event, we believe that there should be a standard minimum transaction fee.</w:t>
      </w:r>
    </w:p>
    <w:p>
      <w:pPr>
        <w:pStyle w:val="Normal"/>
        <w:tabs>
          <w:tab w:val="clear" w:pos="720"/>
          <w:tab w:val="left" w:pos="1344" w:leader="none"/>
          <w:tab w:val="left" w:pos="5106" w:leader="none"/>
          <w:tab w:val="left" w:pos="7254" w:leader="none"/>
        </w:tabs>
        <w:jc w:val="both"/>
        <w:rPr/>
      </w:pPr>
      <w:r>
        <w:rPr/>
      </w:r>
    </w:p>
    <w:p>
      <w:pPr>
        <w:pStyle w:val="Normal"/>
        <w:tabs>
          <w:tab w:val="clear" w:pos="720"/>
          <w:tab w:val="left" w:pos="1344" w:leader="none"/>
          <w:tab w:val="left" w:pos="5106" w:leader="none"/>
          <w:tab w:val="left" w:pos="7254" w:leader="none"/>
        </w:tabs>
        <w:jc w:val="both"/>
        <w:rPr>
          <w:b/>
          <w:bCs/>
        </w:rPr>
      </w:pPr>
      <w:r>
        <w:rPr>
          <w:b/>
          <w:bCs/>
        </w:rPr>
        <w:t>Substantive provisions:</w:t>
      </w:r>
    </w:p>
    <w:p>
      <w:pPr>
        <w:pStyle w:val="Normal"/>
        <w:tabs>
          <w:tab w:val="clear" w:pos="720"/>
          <w:tab w:val="left" w:pos="1344" w:leader="none"/>
          <w:tab w:val="left" w:pos="5106" w:leader="none"/>
          <w:tab w:val="left" w:pos="7254" w:leader="none"/>
        </w:tabs>
        <w:jc w:val="both"/>
        <w:rPr>
          <w:b/>
          <w:bCs/>
          <w:i/>
          <w:i/>
          <w:iCs/>
        </w:rPr>
      </w:pPr>
      <w:r>
        <w:rPr>
          <w:b/>
          <w:bCs/>
          <w:i/>
          <w:iCs/>
        </w:rPr>
      </w:r>
    </w:p>
    <w:p>
      <w:pPr>
        <w:pStyle w:val="Normal"/>
        <w:numPr>
          <w:ilvl w:val="0"/>
          <w:numId w:val="2"/>
        </w:numPr>
        <w:tabs>
          <w:tab w:val="clear" w:pos="720"/>
          <w:tab w:val="left" w:pos="1344" w:leader="none"/>
          <w:tab w:val="left" w:pos="5106" w:leader="none"/>
          <w:tab w:val="left" w:pos="7254" w:leader="none"/>
        </w:tabs>
        <w:jc w:val="both"/>
        <w:rPr/>
      </w:pPr>
      <w:r>
        <w:rPr>
          <w:i/>
          <w:iCs/>
        </w:rPr>
        <w:t xml:space="preserve">Article II </w:t>
      </w:r>
      <w:r>
        <w:rPr/>
        <w:t xml:space="preserve">deals with the development and operation of the Enron Data Feed, through which Enron will provide the customer-specific transaction data to Accenture.  While these provisions are largely technical, they provide the basis for the licenses granted in Article III.    </w:t>
      </w:r>
    </w:p>
    <w:p>
      <w:pPr>
        <w:pStyle w:val="Normal"/>
        <w:tabs>
          <w:tab w:val="clear" w:pos="720"/>
          <w:tab w:val="left" w:pos="1344" w:leader="none"/>
          <w:tab w:val="left" w:pos="5106" w:leader="none"/>
          <w:tab w:val="left" w:pos="7254" w:leader="none"/>
        </w:tabs>
        <w:jc w:val="both"/>
        <w:rPr/>
      </w:pPr>
      <w:r>
        <w:rPr/>
      </w:r>
    </w:p>
    <w:p>
      <w:pPr>
        <w:pStyle w:val="Normal"/>
        <w:numPr>
          <w:ilvl w:val="0"/>
          <w:numId w:val="2"/>
        </w:numPr>
        <w:tabs>
          <w:tab w:val="clear" w:pos="720"/>
          <w:tab w:val="left" w:pos="1344" w:leader="none"/>
          <w:tab w:val="left" w:pos="5106" w:leader="none"/>
          <w:tab w:val="left" w:pos="7254" w:leader="none"/>
        </w:tabs>
        <w:jc w:val="both"/>
        <w:rPr/>
      </w:pPr>
      <w:r>
        <w:rPr>
          <w:i/>
          <w:iCs/>
        </w:rPr>
        <w:t>Article III</w:t>
      </w:r>
      <w:r>
        <w:rPr/>
        <w:t xml:space="preserve"> contains the license to use the data and the Enron software.  You will note some significant changes to the structure of the agreement and changes to the terms of the licenses granted.  In these transactions, we have found it most helpful to first describe the commercial transaction, and then grant the license(s) that are necessary to permit the parties to perform the transaction.  As a result, the terms of the license in our draft are more limited and definite than than those in Accenture’s draft, but appropriate for this transaction, in which Accenture will be receiving EnronOnline transaction data, reformatting it, and providing the reformatted data to the customer.</w:t>
      </w:r>
    </w:p>
    <w:p>
      <w:pPr>
        <w:pStyle w:val="Normal"/>
        <w:tabs>
          <w:tab w:val="clear" w:pos="720"/>
          <w:tab w:val="left" w:pos="1344" w:leader="none"/>
          <w:tab w:val="left" w:pos="5106" w:leader="none"/>
          <w:tab w:val="left" w:pos="7254" w:leader="none"/>
        </w:tabs>
        <w:jc w:val="both"/>
        <w:rPr/>
      </w:pPr>
      <w:r>
        <w:rPr/>
      </w:r>
    </w:p>
    <w:p>
      <w:pPr>
        <w:pStyle w:val="Normal"/>
        <w:tabs>
          <w:tab w:val="clear" w:pos="720"/>
          <w:tab w:val="left" w:pos="1344" w:leader="none"/>
          <w:tab w:val="left" w:pos="5106" w:leader="none"/>
          <w:tab w:val="left" w:pos="7254" w:leader="none"/>
        </w:tabs>
        <w:ind w:start="720" w:end="0"/>
        <w:jc w:val="both"/>
        <w:rPr/>
      </w:pPr>
      <w:r>
        <w:rPr/>
        <w:t xml:space="preserve">Please note that we have established these as </w:t>
      </w:r>
      <w:r>
        <w:rPr>
          <w:i/>
          <w:iCs/>
        </w:rPr>
        <w:t>non-exclusive</w:t>
      </w:r>
      <w:r>
        <w:rPr/>
        <w:t xml:space="preserve"> licenses and provided exclusivity covenants regarding Enron’s future activities, as opposed to providing for exclusive licenses.  While we believe that our alternative approach gives Accenture the exclusive right to the franchise that it wanted out of this transaction, we have a good reason for this alternative structure.  We need to anticipate that Enron will be working on future transactions, completely unrelated to the business that Accenture and Enron are discussing here, that may require Enron to grant to third parties licenses on software or data.  If we were to grant an exclusive license to Accenture for those items (no matter how we attempted to limit the purpose), there would be a strong presumption that the license could not be granted because we had granted an “exclusive” license to Accenture.  We believe that there is less risk of having our hands tied if we tie the exclusivity provisions to the commercial deal, and not to the software.</w:t>
      </w:r>
    </w:p>
    <w:p>
      <w:pPr>
        <w:pStyle w:val="Normal"/>
        <w:tabs>
          <w:tab w:val="clear" w:pos="720"/>
          <w:tab w:val="left" w:pos="1344" w:leader="none"/>
          <w:tab w:val="left" w:pos="5106" w:leader="none"/>
          <w:tab w:val="left" w:pos="7254" w:leader="none"/>
        </w:tabs>
        <w:jc w:val="both"/>
        <w:rPr/>
      </w:pPr>
      <w:r>
        <w:rPr/>
      </w:r>
    </w:p>
    <w:p>
      <w:pPr>
        <w:pStyle w:val="Normal"/>
        <w:numPr>
          <w:ilvl w:val="0"/>
          <w:numId w:val="2"/>
        </w:numPr>
        <w:tabs>
          <w:tab w:val="clear" w:pos="720"/>
          <w:tab w:val="left" w:pos="1344" w:leader="none"/>
          <w:tab w:val="left" w:pos="5106" w:leader="none"/>
          <w:tab w:val="left" w:pos="7254" w:leader="none"/>
        </w:tabs>
        <w:jc w:val="both"/>
        <w:rPr/>
      </w:pPr>
      <w:r>
        <w:rPr>
          <w:i/>
          <w:iCs/>
        </w:rPr>
        <w:t>Article IV</w:t>
      </w:r>
      <w:r>
        <w:rPr/>
        <w:t xml:space="preserve"> deals with the parties’ marketing and publicity obligations.  While Enron is certainly amenable to assisting Accenture wherever possible in marketing the TSH services, it is corporate policy that Enron maintain extensive control over how its name and marks are used.</w:t>
      </w:r>
    </w:p>
    <w:p>
      <w:pPr>
        <w:pStyle w:val="Normal"/>
        <w:tabs>
          <w:tab w:val="clear" w:pos="720"/>
          <w:tab w:val="left" w:pos="1344" w:leader="none"/>
          <w:tab w:val="left" w:pos="5106" w:leader="none"/>
          <w:tab w:val="left" w:pos="7254" w:leader="none"/>
        </w:tabs>
        <w:ind w:start="360" w:end="0"/>
        <w:jc w:val="both"/>
        <w:rPr/>
      </w:pPr>
      <w:r>
        <w:rPr/>
      </w:r>
    </w:p>
    <w:p>
      <w:pPr>
        <w:pStyle w:val="Normal"/>
        <w:numPr>
          <w:ilvl w:val="0"/>
          <w:numId w:val="2"/>
        </w:numPr>
        <w:tabs>
          <w:tab w:val="clear" w:pos="720"/>
          <w:tab w:val="left" w:pos="1344" w:leader="none"/>
          <w:tab w:val="left" w:pos="5106" w:leader="none"/>
          <w:tab w:val="left" w:pos="7254" w:leader="none"/>
        </w:tabs>
        <w:jc w:val="both"/>
        <w:rPr/>
      </w:pPr>
      <w:r>
        <w:rPr/>
        <w:t xml:space="preserve">In </w:t>
      </w:r>
      <w:r>
        <w:rPr>
          <w:i/>
          <w:iCs/>
        </w:rPr>
        <w:t>Article V</w:t>
      </w:r>
      <w:r>
        <w:rPr/>
        <w:t xml:space="preserve">, we have eliminated the concept of a service level credit.  We feel strongly that if the situation deteriorates to this point, </w:t>
      </w:r>
      <w:r>
        <w:rPr>
          <w:i/>
          <w:iCs/>
        </w:rPr>
        <w:t>it simply is not working</w:t>
      </w:r>
      <w:r>
        <w:rPr/>
        <w:t xml:space="preserve"> and neither party should be obligated to perform the transaction for another five years.  In our view, Enron’s failure to meet service levels (which we still need to see) should result in Accenture’s termination of the agreement (and possibly recovery of actual damages by virtue of Enron’s breach), and nothing more.</w:t>
      </w:r>
    </w:p>
    <w:p>
      <w:pPr>
        <w:pStyle w:val="Normal"/>
        <w:tabs>
          <w:tab w:val="clear" w:pos="720"/>
          <w:tab w:val="left" w:pos="1344" w:leader="none"/>
          <w:tab w:val="left" w:pos="5106" w:leader="none"/>
          <w:tab w:val="left" w:pos="7254" w:leader="none"/>
        </w:tabs>
        <w:jc w:val="both"/>
        <w:rPr/>
      </w:pPr>
      <w:r>
        <w:rPr/>
      </w:r>
    </w:p>
    <w:p>
      <w:pPr>
        <w:pStyle w:val="Normal"/>
        <w:tabs>
          <w:tab w:val="clear" w:pos="720"/>
          <w:tab w:val="left" w:pos="1344" w:leader="none"/>
          <w:tab w:val="left" w:pos="5106" w:leader="none"/>
          <w:tab w:val="left" w:pos="7254" w:leader="none"/>
        </w:tabs>
        <w:ind w:start="720" w:end="0"/>
        <w:jc w:val="both"/>
        <w:rPr/>
      </w:pPr>
      <w:r>
        <w:rPr/>
        <w:t>It is not commercially reasonable to limit payments to one per year; we have provided for quarterly payments.</w:t>
      </w:r>
    </w:p>
    <w:p>
      <w:pPr>
        <w:pStyle w:val="Normal"/>
        <w:tabs>
          <w:tab w:val="clear" w:pos="720"/>
          <w:tab w:val="left" w:pos="1344" w:leader="none"/>
          <w:tab w:val="left" w:pos="5106" w:leader="none"/>
          <w:tab w:val="left" w:pos="7254" w:leader="none"/>
        </w:tabs>
        <w:ind w:start="720" w:end="0"/>
        <w:jc w:val="both"/>
        <w:rPr/>
      </w:pPr>
      <w:r>
        <w:rPr/>
      </w:r>
    </w:p>
    <w:p>
      <w:pPr>
        <w:pStyle w:val="Normal"/>
        <w:tabs>
          <w:tab w:val="clear" w:pos="720"/>
          <w:tab w:val="left" w:pos="1344" w:leader="none"/>
          <w:tab w:val="left" w:pos="5106" w:leader="none"/>
          <w:tab w:val="left" w:pos="7254" w:leader="none"/>
        </w:tabs>
        <w:ind w:start="720" w:end="0"/>
        <w:jc w:val="both"/>
        <w:rPr>
          <w:i/>
          <w:i/>
          <w:iCs/>
        </w:rPr>
      </w:pPr>
      <w:r>
        <w:rPr/>
        <w:t>It is important that each party have adequate audit rights; we have attempted to craft a provision in which each party has access to the information they need in order to verify the other party’s compliance with this agreement, without unduly interfering with the other party’s operations.</w:t>
      </w:r>
    </w:p>
    <w:p>
      <w:pPr>
        <w:pStyle w:val="Normal"/>
        <w:tabs>
          <w:tab w:val="clear" w:pos="720"/>
          <w:tab w:val="left" w:pos="1344" w:leader="none"/>
          <w:tab w:val="left" w:pos="5106" w:leader="none"/>
          <w:tab w:val="left" w:pos="7254" w:leader="none"/>
        </w:tabs>
        <w:jc w:val="both"/>
        <w:rPr>
          <w:i/>
          <w:i/>
          <w:iCs/>
        </w:rPr>
      </w:pPr>
      <w:r>
        <w:rPr>
          <w:i/>
          <w:iCs/>
        </w:rPr>
      </w:r>
    </w:p>
    <w:p>
      <w:pPr>
        <w:pStyle w:val="Normal"/>
        <w:numPr>
          <w:ilvl w:val="0"/>
          <w:numId w:val="2"/>
        </w:numPr>
        <w:tabs>
          <w:tab w:val="clear" w:pos="720"/>
          <w:tab w:val="left" w:pos="1344" w:leader="none"/>
          <w:tab w:val="left" w:pos="5106" w:leader="none"/>
          <w:tab w:val="left" w:pos="7254" w:leader="none"/>
        </w:tabs>
        <w:jc w:val="both"/>
        <w:rPr/>
      </w:pPr>
      <w:r>
        <w:rPr/>
        <w:t xml:space="preserve">In </w:t>
      </w:r>
      <w:r>
        <w:rPr>
          <w:i/>
          <w:iCs/>
        </w:rPr>
        <w:t>Article VII</w:t>
      </w:r>
      <w:r>
        <w:rPr/>
        <w:t>, we provided for certain additional termination events.  Again, we do not regard it as commercially reasonable to require a party to remain in a five year contract that, for the reasons we have set forth in this provision, is simply not working.</w:t>
      </w:r>
    </w:p>
    <w:p>
      <w:pPr>
        <w:pStyle w:val="Normal"/>
        <w:tabs>
          <w:tab w:val="clear" w:pos="720"/>
          <w:tab w:val="left" w:pos="1344" w:leader="none"/>
          <w:tab w:val="left" w:pos="5106" w:leader="none"/>
          <w:tab w:val="left" w:pos="7254" w:leader="none"/>
        </w:tabs>
        <w:jc w:val="both"/>
        <w:rPr/>
      </w:pPr>
      <w:r>
        <w:rPr/>
      </w:r>
    </w:p>
    <w:p>
      <w:pPr>
        <w:pStyle w:val="BodyTextIndent"/>
        <w:rPr>
          <w:i/>
          <w:i/>
          <w:iCs/>
        </w:rPr>
      </w:pPr>
      <w:r>
        <w:rPr/>
        <w:t>We have also provided for a right to suspend performance in the event of a termination event where the triggering event is having a material adverse effect on the other party; this effectively prohibits a party from mitigating its damages.  For instance, Enron could be required to continue sending customer data to Accenture even though it new that Accenture’s TSH was sending faulty data to customers.  We object to Section 7.4 for the same reason; neither party should be required to continue performing the agreement pending completion of dispute resolution proceedings for the same reasons.</w:t>
      </w:r>
    </w:p>
    <w:p>
      <w:pPr>
        <w:pStyle w:val="Normal"/>
        <w:tabs>
          <w:tab w:val="clear" w:pos="720"/>
          <w:tab w:val="left" w:pos="1344" w:leader="none"/>
          <w:tab w:val="left" w:pos="5106" w:leader="none"/>
          <w:tab w:val="left" w:pos="7254" w:leader="none"/>
        </w:tabs>
        <w:jc w:val="both"/>
        <w:rPr>
          <w:i/>
          <w:i/>
          <w:iCs/>
        </w:rPr>
      </w:pPr>
      <w:r>
        <w:rPr>
          <w:i/>
          <w:iCs/>
        </w:rPr>
      </w:r>
    </w:p>
    <w:p>
      <w:pPr>
        <w:pStyle w:val="Normal"/>
        <w:numPr>
          <w:ilvl w:val="0"/>
          <w:numId w:val="2"/>
        </w:numPr>
        <w:tabs>
          <w:tab w:val="clear" w:pos="720"/>
          <w:tab w:val="left" w:pos="1344" w:leader="none"/>
          <w:tab w:val="left" w:pos="5106" w:leader="none"/>
          <w:tab w:val="left" w:pos="7254" w:leader="none"/>
        </w:tabs>
        <w:jc w:val="both"/>
        <w:rPr/>
      </w:pPr>
      <w:r>
        <w:rPr/>
        <w:t xml:space="preserve">In </w:t>
      </w:r>
      <w:r>
        <w:rPr>
          <w:i/>
          <w:iCs/>
        </w:rPr>
        <w:t xml:space="preserve">Article IX, </w:t>
      </w:r>
      <w:r>
        <w:rPr/>
        <w:t>we believe that indemnities running both ways are appropriate; Enron certainly has exposure under this arrangement for which Accenture should be responsible.  We have added an indemnity by Accenture.</w:t>
      </w:r>
    </w:p>
    <w:p>
      <w:pPr>
        <w:pStyle w:val="Normal"/>
        <w:tabs>
          <w:tab w:val="clear" w:pos="720"/>
          <w:tab w:val="left" w:pos="1344" w:leader="none"/>
          <w:tab w:val="left" w:pos="5106" w:leader="none"/>
          <w:tab w:val="left" w:pos="7254" w:leader="none"/>
        </w:tabs>
        <w:jc w:val="both"/>
        <w:rPr/>
      </w:pPr>
      <w:r>
        <w:rPr/>
      </w:r>
    </w:p>
    <w:p>
      <w:pPr>
        <w:pStyle w:val="BodyTextIndent"/>
        <w:rPr/>
      </w:pPr>
      <w:r>
        <w:rPr/>
        <w:t>Enron is certainly in favor of limitations on liability; and those set forth in Section 9.4 are a good start.  We are interested in the reasoning behind a much lower cap on Accenture’s liability than on Enron’s.  We also believe that it is appropriate to limit damages to direct damages in virtually every instance, and that punitive, exemplary and consequential damages should be excluded almost entirely; we would like to discuss Accenture’s position that those damages should be available in certain instances.</w:t>
      </w:r>
    </w:p>
    <w:p>
      <w:pPr>
        <w:pStyle w:val="Normal"/>
        <w:tabs>
          <w:tab w:val="clear" w:pos="720"/>
          <w:tab w:val="left" w:pos="1344" w:leader="none"/>
          <w:tab w:val="left" w:pos="5106" w:leader="none"/>
          <w:tab w:val="left" w:pos="7254" w:leader="none"/>
        </w:tabs>
        <w:jc w:val="both"/>
        <w:rPr/>
      </w:pPr>
      <w:r>
        <w:rPr/>
      </w:r>
    </w:p>
    <w:p>
      <w:pPr>
        <w:pStyle w:val="Normal"/>
        <w:tabs>
          <w:tab w:val="clear" w:pos="720"/>
          <w:tab w:val="left" w:pos="1344" w:leader="none"/>
          <w:tab w:val="left" w:pos="5106" w:leader="none"/>
          <w:tab w:val="left" w:pos="7254" w:leader="none"/>
        </w:tabs>
        <w:jc w:val="both"/>
        <w:rPr/>
      </w:pPr>
      <w:r>
        <w:rPr/>
        <w:t xml:space="preserve">  </w:t>
      </w:r>
    </w:p>
    <w:p>
      <w:pPr>
        <w:pStyle w:val="Normal"/>
        <w:tabs>
          <w:tab w:val="clear" w:pos="720"/>
          <w:tab w:val="left" w:pos="1344" w:leader="none"/>
          <w:tab w:val="left" w:pos="5106" w:leader="none"/>
          <w:tab w:val="left" w:pos="7254" w:leader="none"/>
        </w:tabs>
        <w:jc w:val="both"/>
        <w:rPr/>
      </w:pPr>
      <w:r>
        <w:rPr/>
      </w:r>
    </w:p>
    <w:p>
      <w:pPr>
        <w:pStyle w:val="Normal"/>
        <w:tabs>
          <w:tab w:val="clear" w:pos="720"/>
          <w:tab w:val="left" w:pos="1344" w:leader="none"/>
          <w:tab w:val="left" w:pos="5106" w:leader="none"/>
          <w:tab w:val="left" w:pos="7254" w:leader="none"/>
        </w:tabs>
        <w:jc w:val="both"/>
        <w:rPr/>
      </w:pPr>
      <w:r>
        <w:rPr/>
        <w:t xml:space="preserve"> </w:t>
      </w:r>
    </w:p>
    <w:p>
      <w:pPr>
        <w:pStyle w:val="Normal"/>
        <w:tabs>
          <w:tab w:val="clear" w:pos="720"/>
          <w:tab w:val="left" w:pos="1344" w:leader="none"/>
          <w:tab w:val="left" w:pos="5106" w:leader="none"/>
          <w:tab w:val="left" w:pos="7254" w:leader="none"/>
        </w:tabs>
        <w:jc w:val="both"/>
        <w:rPr/>
      </w:pPr>
      <w:r>
        <w:rPr/>
      </w:r>
    </w:p>
    <w:p>
      <w:pPr>
        <w:pStyle w:val="Normal"/>
        <w:tabs>
          <w:tab w:val="clear" w:pos="720"/>
          <w:tab w:val="left" w:pos="1344" w:leader="none"/>
          <w:tab w:val="left" w:pos="5106" w:leader="none"/>
          <w:tab w:val="left" w:pos="7254" w:leader="none"/>
        </w:tabs>
        <w:jc w:val="both"/>
        <w:rPr/>
      </w:pPr>
      <w:r>
        <w:rPr/>
        <w:t xml:space="preserve">  </w:t>
      </w:r>
    </w:p>
    <w:p>
      <w:pPr>
        <w:pStyle w:val="Normal"/>
        <w:tabs>
          <w:tab w:val="clear" w:pos="720"/>
          <w:tab w:val="left" w:pos="1344" w:leader="none"/>
          <w:tab w:val="left" w:pos="5106" w:leader="none"/>
          <w:tab w:val="left" w:pos="7254" w:leader="none"/>
        </w:tabs>
        <w:jc w:val="both"/>
        <w:rPr/>
      </w:pPr>
      <w:r>
        <w:rPr/>
      </w:r>
    </w:p>
    <w:p>
      <w:pPr>
        <w:pStyle w:val="Normal"/>
        <w:tabs>
          <w:tab w:val="clear" w:pos="720"/>
          <w:tab w:val="left" w:pos="1344" w:leader="none"/>
          <w:tab w:val="left" w:pos="5106" w:leader="none"/>
          <w:tab w:val="left" w:pos="7254" w:leader="none"/>
        </w:tabs>
        <w:jc w:val="both"/>
        <w:rPr/>
      </w:pPr>
      <w:r>
        <w:rPr/>
        <w:t xml:space="preserve">   </w:t>
      </w:r>
    </w:p>
    <w:p>
      <w:pPr>
        <w:pStyle w:val="Normal"/>
        <w:tabs>
          <w:tab w:val="clear" w:pos="720"/>
          <w:tab w:val="left" w:pos="1344" w:leader="none"/>
          <w:tab w:val="left" w:pos="5106" w:leader="none"/>
          <w:tab w:val="left" w:pos="7254" w:leader="none"/>
        </w:tabs>
        <w:jc w:val="both"/>
        <w:rPr/>
      </w:pPr>
      <w:r>
        <w:rPr/>
      </w:r>
    </w:p>
    <w:p>
      <w:pPr>
        <w:pStyle w:val="Normal"/>
        <w:tabs>
          <w:tab w:val="clear" w:pos="720"/>
          <w:tab w:val="left" w:pos="1344" w:leader="none"/>
          <w:tab w:val="left" w:pos="5106" w:leader="none"/>
          <w:tab w:val="left" w:pos="7254" w:leader="none"/>
        </w:tabs>
        <w:jc w:val="both"/>
        <w:rPr/>
      </w:pPr>
      <w:r>
        <w:rPr/>
      </w:r>
    </w:p>
    <w:p>
      <w:pPr>
        <w:pStyle w:val="Normal"/>
        <w:tabs>
          <w:tab w:val="clear" w:pos="720"/>
          <w:tab w:val="left" w:pos="1344" w:leader="none"/>
          <w:tab w:val="left" w:pos="5106" w:leader="none"/>
          <w:tab w:val="left" w:pos="7254" w:leader="none"/>
        </w:tabs>
        <w:jc w:val="both"/>
        <w:rPr/>
      </w:pPr>
      <w:r>
        <w:rPr/>
      </w:r>
    </w:p>
    <w:p>
      <w:pPr>
        <w:pStyle w:val="Normal"/>
        <w:tabs>
          <w:tab w:val="clear" w:pos="720"/>
          <w:tab w:val="left" w:pos="1344" w:leader="none"/>
          <w:tab w:val="left" w:pos="5106" w:leader="none"/>
          <w:tab w:val="left" w:pos="7254" w:leader="none"/>
        </w:tabs>
        <w:jc w:val="both"/>
        <w:rPr/>
      </w:pPr>
      <w:r>
        <w:rPr/>
      </w:r>
    </w:p>
    <w:p>
      <w:pPr>
        <w:pStyle w:val="Normal"/>
        <w:tabs>
          <w:tab w:val="clear" w:pos="720"/>
          <w:tab w:val="left" w:pos="1344" w:leader="none"/>
          <w:tab w:val="left" w:pos="5106" w:leader="none"/>
          <w:tab w:val="left" w:pos="7254" w:leader="none"/>
        </w:tabs>
        <w:jc w:val="both"/>
        <w:rPr/>
      </w:pPr>
      <w:r>
        <w:rPr/>
      </w:r>
    </w:p>
    <w:p>
      <w:pPr>
        <w:pStyle w:val="Normal"/>
        <w:tabs>
          <w:tab w:val="clear" w:pos="720"/>
          <w:tab w:val="left" w:pos="1344" w:leader="none"/>
          <w:tab w:val="left" w:pos="5106" w:leader="none"/>
          <w:tab w:val="left" w:pos="7254" w:leader="none"/>
        </w:tabs>
        <w:jc w:val="both"/>
        <w:rPr/>
      </w:pPr>
      <w:r>
        <w:rPr/>
        <w:t xml:space="preserve">  </w:t>
      </w:r>
    </w:p>
    <w:p>
      <w:pPr>
        <w:pStyle w:val="Normal"/>
        <w:tabs>
          <w:tab w:val="clear" w:pos="720"/>
          <w:tab w:val="left" w:pos="1344" w:leader="none"/>
          <w:tab w:val="left" w:pos="5106" w:leader="none"/>
          <w:tab w:val="left" w:pos="7254" w:leader="none"/>
        </w:tabs>
        <w:jc w:val="both"/>
        <w:rPr/>
      </w:pPr>
      <w:r>
        <w:rPr/>
      </w:r>
    </w:p>
    <w:p>
      <w:pPr>
        <w:pStyle w:val="Normal"/>
        <w:tabs>
          <w:tab w:val="clear" w:pos="720"/>
          <w:tab w:val="left" w:pos="1344" w:leader="none"/>
          <w:tab w:val="left" w:pos="5106" w:leader="none"/>
          <w:tab w:val="left" w:pos="7254" w:leader="none"/>
        </w:tabs>
        <w:jc w:val="both"/>
        <w:rPr/>
      </w:pPr>
      <w:r>
        <w:rPr/>
      </w:r>
    </w:p>
    <w:p>
      <w:pPr>
        <w:pStyle w:val="Normal"/>
        <w:tabs>
          <w:tab w:val="clear" w:pos="720"/>
          <w:tab w:val="left" w:pos="1344" w:leader="none"/>
          <w:tab w:val="left" w:pos="5106" w:leader="none"/>
          <w:tab w:val="left" w:pos="7254" w:leader="none"/>
        </w:tabs>
        <w:jc w:val="both"/>
        <w:rPr/>
      </w:pPr>
      <w:r>
        <w:rPr/>
      </w:r>
    </w:p>
    <w:p>
      <w:pPr>
        <w:pStyle w:val="Normal"/>
        <w:tabs>
          <w:tab w:val="clear" w:pos="720"/>
          <w:tab w:val="left" w:pos="1344" w:leader="none"/>
          <w:tab w:val="left" w:pos="5106" w:leader="none"/>
          <w:tab w:val="left" w:pos="7254" w:leader="none"/>
        </w:tabs>
        <w:jc w:val="both"/>
        <w:rPr/>
      </w:pPr>
      <w:r>
        <w:rPr/>
      </w:r>
    </w:p>
    <w:p>
      <w:pPr>
        <w:pStyle w:val="Normal"/>
        <w:tabs>
          <w:tab w:val="clear" w:pos="720"/>
          <w:tab w:val="left" w:pos="1344" w:leader="none"/>
          <w:tab w:val="left" w:pos="5106" w:leader="none"/>
          <w:tab w:val="left" w:pos="7254" w:leader="none"/>
        </w:tabs>
        <w:jc w:val="both"/>
        <w:rPr/>
      </w:pPr>
      <w:r>
        <w:rPr/>
      </w:r>
    </w:p>
    <w:p>
      <w:pPr>
        <w:pStyle w:val="Normal"/>
        <w:tabs>
          <w:tab w:val="clear" w:pos="720"/>
          <w:tab w:val="left" w:pos="1344" w:leader="none"/>
          <w:tab w:val="left" w:pos="5106" w:leader="none"/>
          <w:tab w:val="left" w:pos="7254" w:leader="none"/>
        </w:tabs>
        <w:jc w:val="both"/>
        <w:rPr/>
      </w:pPr>
      <w:r>
        <w:rPr/>
      </w:r>
    </w:p>
    <w:p>
      <w:pPr>
        <w:pStyle w:val="Normal"/>
        <w:tabs>
          <w:tab w:val="clear" w:pos="720"/>
          <w:tab w:val="left" w:pos="1344" w:leader="none"/>
          <w:tab w:val="left" w:pos="5106" w:leader="none"/>
          <w:tab w:val="left" w:pos="7254" w:leader="none"/>
        </w:tabs>
        <w:jc w:val="both"/>
        <w:rPr/>
      </w:pPr>
      <w:r>
        <w:rPr/>
      </w:r>
    </w:p>
    <w:p>
      <w:pPr>
        <w:pStyle w:val="Normal"/>
        <w:tabs>
          <w:tab w:val="clear" w:pos="720"/>
          <w:tab w:val="left" w:pos="1344" w:leader="none"/>
          <w:tab w:val="left" w:pos="5106" w:leader="none"/>
          <w:tab w:val="left" w:pos="7254" w:leader="none"/>
        </w:tabs>
        <w:jc w:val="both"/>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ahoma">
    <w:charset w:val="00" w:characterSet="windows-1252"/>
    <w:family w:val="swiss"/>
    <w:pitch w:val="variable"/>
  </w:font>
  <w:font w:name="Arial Black">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clear" w:pos="720"/>
        <w:tab w:val="left" w:pos="1344" w:leader="none"/>
        <w:tab w:val="left" w:pos="5106" w:leader="none"/>
        <w:tab w:val="left" w:pos="7254"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1344" w:leader="none"/>
        <w:tab w:val="left" w:pos="5106" w:leader="none"/>
        <w:tab w:val="left" w:pos="7254" w:leader="none"/>
      </w:tabs>
      <w:ind w:hanging="0" w:start="720" w:end="0"/>
      <w:jc w:val="both"/>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2001-06-03T22:58:00Z</dcterms:created>
  <dc:creator>tmccull</dc:creator>
  <dc:description/>
  <dc:language>en-CA</dc:language>
  <cp:lastModifiedBy>Travis C. McCullough</cp:lastModifiedBy>
  <dcterms:modified xsi:type="dcterms:W3CDTF">2001-06-04T03:06:00Z</dcterms:modified>
  <cp:revision>11</cp:revision>
  <dc:subject/>
  <dc:title> </dc:title>
</cp:coreProperties>
</file>