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440" w:leader="none"/>
        </w:tabs>
        <w:jc w:val="both"/>
        <w:outlineLvl w:val="0"/>
        <w:rPr/>
      </w:pPr>
      <w:r>
        <w:object w:dxaOrig="1230" w:dyaOrig="12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85pt;width:43.2pt;height:45.75pt;mso-wrap-distance-left:9.05pt;mso-wrap-distance-right:9.05pt;mso-position-horizontal-relative:text;mso-position-vertical-relative:text" filled="f" o:ole="">
            <v:imagedata r:id="rId3" o:title=""/>
            <w10:wrap type="square" side="right"/>
          </v:shape>
          <o:OLEObject Type="Embed" ProgID="" ShapeID="ole_rId2" DrawAspect="Content" ObjectID="_2045896120" r:id="rId2"/>
        </w:object>
      </w:r>
      <w:r>
        <w:rPr>
          <w:rFonts w:eastAsia="Arial" w:cs="Arial" w:ascii="Arial" w:hAnsi="Arial"/>
          <w:b/>
          <w:color w:val="000000"/>
          <w:sz w:val="112"/>
        </w:rPr>
        <w:t xml:space="preserve">  </w:t>
      </w:r>
      <w:r>
        <w:rPr>
          <w:rFonts w:cs="Arial" w:ascii="Arial" w:hAnsi="Arial"/>
          <w:b/>
          <w:color w:val="000000"/>
          <w:sz w:val="112"/>
        </w:rPr>
        <w:tab/>
      </w:r>
      <w:r>
        <w:rPr>
          <w:rFonts w:cs="Arial" w:ascii="Arial" w:hAnsi="Arial"/>
          <w:b/>
          <w:shadow/>
          <w:color w:val="000000"/>
          <w:sz w:val="112"/>
        </w:rPr>
        <w:t>ABSTRACTS</w:t>
      </w:r>
    </w:p>
    <w:p>
      <w:pPr>
        <w:pStyle w:val="Normal"/>
        <w:numPr>
          <w:ilvl w:val="0"/>
          <w:numId w:val="0"/>
        </w:numPr>
        <w:tabs>
          <w:tab w:val="clear" w:pos="720"/>
          <w:tab w:val="left" w:pos="440" w:leader="none"/>
        </w:tabs>
        <w:jc w:val="both"/>
        <w:outlineLvl w:val="0"/>
        <w:rPr>
          <w:rFonts w:ascii="Arial" w:hAnsi="Arial" w:cs="Arial"/>
          <w:b/>
          <w:shadow/>
          <w:color w:val="000000"/>
          <w:sz w:val="16"/>
          <w:lang w:val="en-CA"/>
        </w:rPr>
      </w:pPr>
      <w:r>
        <w:rPr>
          <w:rFonts w:cs="Arial" w:ascii="Arial" w:hAnsi="Arial"/>
          <w:b/>
          <w:shadow/>
          <w:color w:val="000000"/>
          <w:sz w:val="16"/>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30480</wp:posOffset>
                </wp:positionV>
                <wp:extent cx="6766560" cy="0"/>
                <wp:effectExtent l="0" t="14605" r="0" b="14605"/>
                <wp:wrapNone/>
                <wp:docPr id="1" name=""/>
                <a:graphic xmlns:a="http://schemas.openxmlformats.org/drawingml/2006/main">
                  <a:graphicData uri="http://schemas.microsoft.com/office/word/2010/wordprocessingShape">
                    <wps:wsp>
                      <wps:cNvSpPr/>
                      <wps:spPr>
                        <a:xfrm>
                          <a:off x="0" y="0"/>
                          <a:ext cx="67665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2.4pt" to="532.75pt,2.4pt" stroked="t" o:allowincell="f" style="position:absolute">
                <v:stroke color="black" weight="28440" joinstyle="miter" endcap="flat"/>
                <v:fill o:detectmouseclick="t" on="false"/>
                <w10:wrap type="none"/>
              </v:line>
            </w:pict>
          </mc:Fallback>
        </mc:AlternateContent>
      </w:r>
    </w:p>
    <w:p>
      <w:pPr>
        <w:pStyle w:val="Normal"/>
        <w:jc w:val="both"/>
        <w:rPr>
          <w:rFonts w:ascii="Arial" w:hAnsi="Arial" w:cs="Arial"/>
          <w:color w:val="FF0000"/>
          <w:sz w:val="20"/>
        </w:rPr>
      </w:pPr>
      <w:r>
        <w:rPr>
          <w:rFonts w:cs="Arial" w:ascii="Arial" w:hAnsi="Arial"/>
          <w:color w:val="FF0000"/>
          <w:sz w:val="20"/>
        </w:rPr>
        <w:t>EUROPEAN-AMERICAN BUSINESS COUNCIL</w:t>
        <w:tab/>
        <w:tab/>
        <w:tab/>
        <w:t>March 9, 2001 - Vol. 12, Number 10, Page 1 of 4</w:t>
      </w:r>
    </w:p>
    <w:p>
      <w:pPr>
        <w:pStyle w:val="Normal"/>
        <w:jc w:val="both"/>
        <w:rPr>
          <w:rFonts w:ascii="Arial" w:hAnsi="Arial" w:cs="Arial"/>
          <w:b/>
          <w:color w:val="FF0000"/>
          <w:sz w:val="22"/>
          <w:lang w:val="en-CA"/>
        </w:rPr>
      </w:pPr>
      <w:r>
        <w:rPr>
          <w:rFonts w:cs="Arial" w:ascii="Arial" w:hAnsi="Arial"/>
          <w:b/>
          <w:color w:val="FF0000"/>
          <w:sz w:val="22"/>
          <w:lang w:val="en-CA"/>
        </w:rPr>
      </w:r>
      <w:r>
        <mc:AlternateContent>
          <mc:Choice Requires="wps">
            <w:drawing>
              <wp:anchor behindDoc="0" distT="0" distB="0" distL="114935" distR="114935" simplePos="0" locked="0" layoutInCell="0" allowOverlap="1" relativeHeight="4">
                <wp:simplePos x="0" y="0"/>
                <wp:positionH relativeFrom="column">
                  <wp:posOffset>-110490</wp:posOffset>
                </wp:positionH>
                <wp:positionV relativeFrom="paragraph">
                  <wp:posOffset>129540</wp:posOffset>
                </wp:positionV>
                <wp:extent cx="3649980" cy="811530"/>
                <wp:effectExtent l="0" t="0" r="0" b="0"/>
                <wp:wrapSquare wrapText="bothSides"/>
                <wp:docPr id="2" name="Frame1"/>
                <a:graphic xmlns:a="http://schemas.openxmlformats.org/drawingml/2006/main">
                  <a:graphicData uri="http://schemas.microsoft.com/office/word/2010/wordprocessingShape">
                    <wps:wsp>
                      <wps:cNvSpPr txBox="1"/>
                      <wps:spPr>
                        <a:xfrm>
                          <a:off x="0" y="0"/>
                          <a:ext cx="3649980" cy="811530"/>
                        </a:xfrm>
                        <a:prstGeom prst="rect"/>
                        <a:solidFill>
                          <a:srgbClr val="FFFFFF"/>
                        </a:solidFill>
                        <a:ln w="38100">
                          <a:solidFill>
                            <a:srgbClr val="993300"/>
                          </a:solidFill>
                        </a:ln>
                      </wps:spPr>
                      <wps:txbx>
                        <w:txbxContent>
                          <w:p>
                            <w:pPr>
                              <w:pStyle w:val="Normal"/>
                              <w:jc w:val="both"/>
                              <w:rPr/>
                            </w:pPr>
                            <w:r>
                              <w:rPr>
                                <w:rFonts w:cs="Arial" w:ascii="Arial" w:hAnsi="Arial"/>
                                <w:b/>
                                <w:sz w:val="22"/>
                              </w:rPr>
                              <w:t>Notable Fact:</w:t>
                            </w:r>
                            <w:r>
                              <w:rPr>
                                <w:rFonts w:cs="Arial" w:ascii="Arial" w:hAnsi="Arial"/>
                                <w:sz w:val="22"/>
                              </w:rPr>
                              <w:t xml:space="preserve">  Liberalization of the EU tele- communications sector has contributed to significant reductions in the costs of long-distance calls.  </w:t>
                            </w:r>
                            <w:r>
                              <w:rPr>
                                <w:rFonts w:cs="Arial" w:ascii="Arial" w:hAnsi="Arial"/>
                                <w:i/>
                                <w:sz w:val="22"/>
                              </w:rPr>
                              <w:t>Source: European Commission.</w:t>
                            </w:r>
                          </w:p>
                        </w:txbxContent>
                      </wps:txbx>
                      <wps:bodyPr anchor="t" lIns="68580" tIns="22860" rIns="68580" bIns="22860">
                        <a:noAutofit/>
                      </wps:bodyPr>
                    </wps:wsp>
                  </a:graphicData>
                </a:graphic>
              </wp:anchor>
            </w:drawing>
          </mc:Choice>
          <mc:Fallback>
            <w:pict>
              <v:rect fillcolor="#FFFFFF" strokecolor="#993300" strokeweight="3pt" style="position:absolute;rotation:-0;width:287.4pt;height:63.9pt;mso-wrap-distance-left:9.05pt;mso-wrap-distance-right:9.05pt;mso-wrap-distance-top:0pt;mso-wrap-distance-bottom:0pt;margin-top:10.2pt;mso-position-vertical-relative:text;margin-left:-8.7pt;mso-position-horizontal-relative:text">
                <v:textbox inset="0.075in,0.025in,0.075in,0.025in">
                  <w:txbxContent>
                    <w:p>
                      <w:pPr>
                        <w:pStyle w:val="Normal"/>
                        <w:jc w:val="both"/>
                        <w:rPr/>
                      </w:pPr>
                      <w:r>
                        <w:rPr>
                          <w:rFonts w:cs="Arial" w:ascii="Arial" w:hAnsi="Arial"/>
                          <w:b/>
                          <w:sz w:val="22"/>
                        </w:rPr>
                        <w:t>Notable Fact:</w:t>
                      </w:r>
                      <w:r>
                        <w:rPr>
                          <w:rFonts w:cs="Arial" w:ascii="Arial" w:hAnsi="Arial"/>
                          <w:sz w:val="22"/>
                        </w:rPr>
                        <w:t xml:space="preserve">  Liberalization of the EU tele- communications sector has contributed to significant reductions in the costs of long-distance calls.  </w:t>
                      </w:r>
                      <w:r>
                        <w:rPr>
                          <w:rFonts w:cs="Arial" w:ascii="Arial" w:hAnsi="Arial"/>
                          <w:i/>
                          <w:sz w:val="22"/>
                        </w:rPr>
                        <w:t>Source: European Commission.</w:t>
                      </w:r>
                    </w:p>
                  </w:txbxContent>
                </v:textbox>
                <w10:wrap type="square"/>
              </v:rect>
            </w:pict>
          </mc:Fallback>
        </mc:AlternateContent>
      </w:r>
    </w:p>
    <w:p>
      <w:pPr>
        <w:pStyle w:val="Normal"/>
        <w:jc w:val="both"/>
        <w:rPr/>
      </w:pPr>
      <w:r>
        <w:object w:dxaOrig="5580" w:dyaOrig="70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91.5pt;margin-top:63.6pt;width:284.4pt;height:355.7pt;mso-wrap-distance-left:9.05pt;mso-wrap-distance-right:9.05pt;mso-position-horizontal-relative:text;mso-position-vertical-relative:text" stroked="t" strokecolor="#993300" strokeweight="4pt" filled="f" o:ole="">
            <v:stroke linestyle="ThinThick" dashstyle="Solid"/>
            <v:imagedata r:id="rId5" o:title=""/>
            <w10:wrap type="square"/>
          </v:shape>
          <o:OLEObject Type="Embed" ProgID="" ShapeID="ole_rId4" DrawAspect="Content" ObjectID="_2113692354" r:id="rId4"/>
        </w:object>
      </w:r>
      <w:r>
        <w:rPr>
          <w:rFonts w:cs="Arial" w:ascii="Arial" w:hAnsi="Arial"/>
          <w:b/>
          <w:sz w:val="22"/>
        </w:rPr>
        <w:t>FIRST LAMY-ZOELLICK MEETINGS FOCUS ON DISPUTES WITH NO SUBSTANTIAL BREAKTHROUGHS</w:t>
      </w:r>
      <w:r>
        <w:rPr>
          <w:rFonts w:cs="Arial" w:ascii="Arial" w:hAnsi="Arial"/>
          <w:sz w:val="22"/>
        </w:rPr>
        <w:t xml:space="preserve">  Despite some expectations that the first formal meetings between US Trade Representative Robert Zoellick and European Commissioner for Trade Pascal Lamy could help resolve lingering transatlantic trade disputes and launch a new round of WTO negotiations, little real progress was apparent as talks concluded Friday, March 9.  While officials frequently say that the issues of bananas, beef hormones, carousel retaliation, foreign sales corporations, and the WTO must be treated as separate issues, they were clearly linked in the array of discussions held this week in Washington.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One conciliatory action was taken by Lamy, who announced a brief delay in the implementation of new regulations governing the import of bananas.  Focused negotiations are expected in the weeks ahead.  The new regulations were intended by the EU to resolve the banana dispute, although the US rejected the proposal as continuing to violate WTO trade rules.</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t>Zoellick at a March 7 hearing before the House Ways and Means Committee had threatened to retaliate under the new “carousel” law if the EU proceeded with implementation of their “first-come, first-served” banana proposal.  At that hearing, Zoellick also cautioned that implementing the carousel law could trigger counter-retaliation by the EU in the FSC dispute.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Lamy in a March 8 speech to the US Chamber of Commerce emphasized the need to address the “nitty-gritty” of outstanding trade disputes.  On the banana dispute, Lamy hinted that Bush Administration implementation of the carousel could lead to the EU moving quickly to retaliate in the FSC dispute.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On the FSC dispute, Lamy said the EU would wait for a WTO ruling on the “so-called new FSC legislation” before retaliating.  The EU position has remained unchanged, with Lamy insisting that the US law be again revised to bring the FSC into WTO compliance.  While Lamy reminded participants that the EU had shown restraint in exercising its right under the WTO to retaliate in the FSC case, he did say that “retaliation and sanctions are there in order to push a party to compliance.”  During the sessions dismissed the idea of a transatlantic free trade area.</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Lamy had almost a full day of meetings March 8 in the Congress.  After meeting with Lamy, Senate Finance Committee Chairman Charles Grassley (R-IA) said he believes EU-US differences over bananas are surmountable, and that the dispute could be solved within the next few weeks.  Grassley’s comments diverge from the attitude taken by Senate Majority Leader Trent Lott (R-MS).  Lott in an effort to press EU compliance on bananas included the carousel provision in the Africa-CBI bill passed by Congress last year.  Lott as recently as February 6 called for immediate implementation of the carousel.  (</w:t>
      </w:r>
      <w:r>
        <w:rPr>
          <w:rFonts w:cs="Arial" w:ascii="Arial" w:hAnsi="Arial"/>
          <w:i/>
          <w:sz w:val="22"/>
        </w:rPr>
        <w:t>Abstracts 2-9-01</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The Zoellick meeting followed a number of other meetings with other Administration officials including Treasury Secretary Paul O’Neill and Bush chief economic advisor Lawrence Lindsey.  In announcing the postponement of the EU’s proposed “first-come, first-served” banana licensing system, Lamy focused attention on the short time frame available to resolve the dispute, saying a new licensing system “must come into force by July 1.”  This is a crucial period for addressing other important EU-US trade issues as well.  The WTO will issue its interim report on the FSC dispute in late May.  Also, the announced goal of a common approach to a new round of WTO negotiations by the June EU-US summit represents a major undertaking between now and early summer.  For Zoellick’s Ways and Means Committee hearing opening statement, click </w:t>
      </w:r>
      <w:hyperlink r:id="rId6">
        <w:r>
          <w:rPr>
            <w:rStyle w:val="Hyperlink"/>
            <w:rFonts w:cs="Arial" w:ascii="Arial" w:hAnsi="Arial"/>
            <w:sz w:val="22"/>
          </w:rPr>
          <w:t>here</w:t>
        </w:r>
      </w:hyperlink>
      <w:r>
        <w:rPr>
          <w:rFonts w:cs="Arial" w:ascii="Arial" w:hAnsi="Arial"/>
          <w:sz w:val="22"/>
        </w:rPr>
        <w:t xml:space="preserve">.  (Adobe Acrobat required).  For Lamy’s speech to the US Chamber, click </w:t>
      </w:r>
      <w:hyperlink r:id="rId7">
        <w:r>
          <w:rPr>
            <w:rStyle w:val="Hyperlink"/>
            <w:rFonts w:cs="Arial" w:ascii="Arial" w:hAnsi="Arial"/>
            <w:sz w:val="22"/>
          </w:rPr>
          <w:t>here</w:t>
        </w:r>
      </w:hyperlink>
      <w:r>
        <w:rPr>
          <w:rFonts w:cs="Arial" w:ascii="Arial" w:hAnsi="Arial"/>
          <w:sz w:val="22"/>
        </w:rPr>
        <w:t>.  Ref. #10-1.</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CONGRESSIONAL HEARING EXAMINES SAFE HARBOR; COMMERCE DEPARTMENT VOICES CONCERNS OVER MODEL CONTRACT  </w:t>
      </w:r>
      <w:r>
        <w:rPr>
          <w:rFonts w:cs="Arial" w:ascii="Arial" w:hAnsi="Arial"/>
          <w:sz w:val="22"/>
        </w:rPr>
        <w:t>Members of the House Energy and Commerce Subcommittee on Commerce, Trade, and Consumer Protection expressed concern over the EU-US safe harbor agreement this week, with full committee Chairman Billy Tauzin (R-LA) saying EU data privacy regulations could potentially lead to “the imposition of one of the largest free trade barriers ever seen.”  In a more tempered tone, Subcommittee Chairman Clifford Stearns (R-FL) said the purpose of the hearing was to examine EU approaches to data privacy and the impact EU regulations might have on international commerce.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Criticism of the safe harbor centered on what some Committee Members see as the extraterritorial impact of EU data privacy regulation, which Tauzin charged “provides for extraterritorial enforcement of EU principles on Americans and American companies.”  Other Members were less critical of the agreement.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Also, the Department of Commerce this week offered comments on a proposed EU data privacy model contract.  Commerce criticized provisions of the model contract as imposing “highly burdensome requirements that exceed what was contemplated in our agreement on the Safe Harbor Principles.”  The comments cover model contract points in areas such as transfers to third countries, auditing and certification, and joint and several liability.  On joint and several liability, for example, Commerce charges the model contract unreasonably holds the data importer liable for the actions of the exporter.  For the witness statements at the safe harbor hearing, click </w:t>
      </w:r>
      <w:hyperlink r:id="rId8">
        <w:r>
          <w:rPr>
            <w:rStyle w:val="Hyperlink"/>
            <w:rFonts w:cs="Arial" w:ascii="Arial" w:hAnsi="Arial"/>
            <w:sz w:val="22"/>
          </w:rPr>
          <w:t>here</w:t>
        </w:r>
      </w:hyperlink>
      <w:r>
        <w:rPr>
          <w:rFonts w:cs="Arial" w:ascii="Arial" w:hAnsi="Arial"/>
          <w:sz w:val="22"/>
        </w:rPr>
        <w:t>.  For the Department of Commerce comments on the model contract, click here.  Ref. #10-2.</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UK TRADE MINISTER CALLS FOR EU-US AGREEMENT ON NEW WTO TALKS BY JUNE SUMMIT</w:t>
      </w:r>
      <w:r>
        <w:rPr>
          <w:sz w:val="22"/>
        </w:rPr>
        <w:t xml:space="preserve">   </w:t>
      </w:r>
      <w:r>
        <w:rPr>
          <w:rFonts w:cs="Arial" w:ascii="Arial" w:hAnsi="Arial"/>
          <w:sz w:val="22"/>
        </w:rPr>
        <w:t>Richard Caborn, UK Minister for Trade, told an EABC luncheon this week the EU and US must reach agreement on the broad outlines of new WTO talks by the June EU-US Summit in Sweden if a round of multilateral negotiations are to begin this year.  The Minister stressed the importance the EU places on getting a new WTO round launched this year, but said that this would not happen without the full support of the US.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t>
      </w:r>
      <w:r>
        <w:rPr>
          <w:rFonts w:cs="Arial" w:ascii="Arial" w:hAnsi="Arial"/>
          <w:sz w:val="22"/>
        </w:rPr>
        <w:t>Our hope is that by the time of the [summit] we will be in a position to announce agreement between us on the parameters of an agenda for a new round”, Caborn told the EABC.  He said that agreement would not be possible without a US consensus on free trade. To help the new Administration establish this consensus, the Minister said “it is vital that we [the EU and US] resolve the current disputes between us.”  Echoing the joint statement of Prime Minister Tony Blair and Present Bush following their February meeting at Camp David, Caborn said, “it is essential to the future credibility of the WTO that we settle our differences.”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Minister said that the new Administration offered the opportunity of improving the relationship and of finding  “a better way of working together.”  He referred to previous efforts to advance a positive bilateral agenda.  In particular, he referred to the Transatlantic Economic Partnership, but said “concrete results have been disappointing.”</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Minister Caborn emphasized the need for substantive, multilateral trade liberalization.  He said that the EU is concerned that the US may be giving too much focus to regional trade agreements. While the UK understands the US interest in completing the Free Trade Area of the Americas (FTAA), he said that those discussions should be held in parallel to new WTO negotiations.  For Caborn’s remarks, click </w:t>
      </w:r>
      <w:hyperlink r:id="rId9">
        <w:r>
          <w:rPr>
            <w:rStyle w:val="Hyperlink"/>
            <w:rFonts w:cs="Arial" w:ascii="Arial" w:hAnsi="Arial"/>
            <w:sz w:val="22"/>
          </w:rPr>
          <w:t>here</w:t>
        </w:r>
      </w:hyperlink>
      <w:r>
        <w:rPr>
          <w:rFonts w:cs="Arial" w:ascii="Arial" w:hAnsi="Arial"/>
          <w:sz w:val="22"/>
        </w:rPr>
        <w:t>.  Ref. #10-3.</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NSC TO RESOLVE DEPARTMENTAL DIFFERENCES OVER CUBA SANCTIONS; HELMS PUSHES MORE RESTRICTIVE APPROACH</w:t>
      </w:r>
      <w:r>
        <w:rPr>
          <w:rFonts w:cs="Arial" w:ascii="Arial" w:hAnsi="Arial"/>
          <w:sz w:val="22"/>
        </w:rPr>
        <w:t xml:space="preserve">  The National Security Council has stepped in to resolve lingering differences between the Departments of Commerce and Treasury on how to implement sanctions reform legislation passed late last year that would permit food and medicine exports to Cuba.  The implementing rules were due by the end of February, but have been delayed by the disagreement.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proposed Commerce Department regulations would allow food and medicine exports under license exceptions.  The Department of Treasury’s Office of Foreign Assets Control (OFAC) instead has proposed a case-by-case licensing process with end-use verification, a more restrictive approach.  A March 8 NSC meeting with Treasury and Commerce to resolve differences was postponed, with no new meeting date set.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Senate Foreign Relations Committee Chairman Jesse Helms (R-NC), a leading supporter of unilateral economic sanctions in the US Congress, this week wrote Treasury Secretary Paul O’Neill, urging him to apply the OFAC approach to Cuba.  In contrast to Helms, Rep. George Nethercutt (R-WA), a House sponsor of sanctions reform legislation, has pressed the Administration to implement the legislation in a manner most conducive to increasing food and medicine exports.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COURT REFUSAL TO DISMISS LAWSUITS THREATENS HOLOCAUST COMPENSATION PLAN</w:t>
      </w:r>
      <w:r>
        <w:rPr>
          <w:rFonts w:cs="Arial" w:ascii="Arial" w:hAnsi="Arial"/>
          <w:sz w:val="22"/>
        </w:rPr>
        <w:t xml:space="preserve">  An agreement establishing a $5 billion fund to compensate victims of the Holocaust suffered a setback this week when a US federal court refused to dismiss lawsuits brought by Holocaust survivors against German companies.  A key element of the agreement guaranteed that participating companies would be protected against future court action.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Judge Shirley Wohl Kram refused to dismiss the lawsuits because the companies have withheld their full contribution, having contributed at this point DM3.6 billion of the DM5 billion pledged.  The German government has already made its DM5 billion contribution.  The case suggests that US courts do not feel bound by US government pleas to dismiss cases.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German leaders and the US State Department criticized the ruling.  Count Otto Lambsdorff, who represented German industry in the negotiations to establish the compensation fund, called the decision “erroneous, bad, [and] unjustified,” and said German companies would immediately appeal the decision.</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sz w:val="22"/>
        </w:rPr>
        <w:t xml:space="preserve">Richard Boucher, a State Department spokesman, criticized the judge’s ruling.  “The decision is contrary to the recommendations of all parties having an interest in the case and will delay justice and payments to Holocaust victims,” Boucher said in a March 7 statement, “a significant number of whom are dying each month.”  For the Boucher statement, click </w:t>
      </w:r>
      <w:hyperlink r:id="rId10">
        <w:r>
          <w:rPr>
            <w:rStyle w:val="Hyperlink"/>
            <w:rFonts w:cs="Arial" w:ascii="Arial" w:hAnsi="Arial"/>
            <w:sz w:val="22"/>
          </w:rPr>
          <w:t>here</w:t>
        </w:r>
      </w:hyperlink>
      <w:r>
        <w:rPr>
          <w:rFonts w:cs="Arial" w:ascii="Arial" w:hAnsi="Arial"/>
          <w:sz w:val="22"/>
        </w:rPr>
        <w:t>.  Ref. #10-4.</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 xml:space="preserve">BUSH TO ATTEND EU-US SUMMIT IN GÖTEBORG  </w:t>
      </w:r>
      <w:r>
        <w:rPr>
          <w:rFonts w:cs="Arial" w:ascii="Arial" w:hAnsi="Arial"/>
          <w:sz w:val="22"/>
        </w:rPr>
        <w:t>The White House this week announced that President Bush will attend a June summit between the US and EU to be held in Göteborg, Sweden.  Attending the summit will be Bush’s first official visit to Europe, and the first visit to Sweden ever by a US president while in office.  EU and US officials are considering holding the summit on June 14, the day before the summit of EU leaders scheduled for June 15.</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t>
      </w:r>
      <w:r>
        <w:rPr>
          <w:rFonts w:cs="Arial" w:ascii="Arial" w:hAnsi="Arial"/>
          <w:sz w:val="22"/>
        </w:rPr>
        <w:t>The president looks forward to his first official visit to Europe,” White House spokesman Ari Fleischer said.  “This visit will highlight the importance we attach to transatlantic cooperation.”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b/>
          <w:color w:val="000080"/>
          <w:sz w:val="22"/>
          <w:u w:val="single"/>
        </w:rPr>
      </w:pPr>
      <w:r>
        <w:rPr>
          <w:rFonts w:cs="Arial" w:ascii="Arial" w:hAnsi="Arial"/>
          <w:sz w:val="22"/>
        </w:rPr>
        <w:t xml:space="preserve">The Transatlantic Business Dialogue is also expected to participate in the Summit.  TABD Chairs Jim Schiro, CEO of Pricewaterhouse Coopers, and EU Chair Michael Treschow, CEO of Electrolux, are expected to attend the summit and brief President Bush, European Commission President Romano Prodi, and Swedish Prime Minister </w:t>
      </w:r>
      <w:r>
        <w:rPr>
          <w:rFonts w:cs="Arial" w:ascii="Arial" w:hAnsi="Arial"/>
          <w:color w:val="000000"/>
          <w:sz w:val="22"/>
        </w:rPr>
        <w:t>Göran Persson</w:t>
      </w:r>
      <w:r>
        <w:rPr>
          <w:rFonts w:cs="Arial" w:ascii="Arial" w:hAnsi="Arial"/>
          <w:sz w:val="22"/>
        </w:rPr>
        <w:t xml:space="preserve"> on the priorities of the 2001 TABD.  For the White House press release, click </w:t>
      </w:r>
      <w:hyperlink r:id="rId11">
        <w:r>
          <w:rPr>
            <w:rStyle w:val="Hyperlink"/>
            <w:rFonts w:cs="Arial" w:ascii="Arial" w:hAnsi="Arial"/>
            <w:sz w:val="22"/>
          </w:rPr>
          <w:t>here</w:t>
        </w:r>
      </w:hyperlink>
      <w:r>
        <w:rPr>
          <w:rFonts w:cs="Arial" w:ascii="Arial" w:hAnsi="Arial"/>
          <w:sz w:val="22"/>
        </w:rPr>
        <w:t>.  (Ref. #10-5)</w:t>
      </w:r>
    </w:p>
    <w:p>
      <w:pPr>
        <w:pStyle w:val="Normal"/>
        <w:jc w:val="center"/>
        <w:rPr>
          <w:rFonts w:ascii="Arial" w:hAnsi="Arial" w:cs="Arial"/>
          <w:b/>
          <w:color w:val="000080"/>
          <w:sz w:val="22"/>
          <w:u w:val="single"/>
        </w:rPr>
      </w:pPr>
      <w:r>
        <w:rPr>
          <w:rFonts w:cs="Arial" w:ascii="Arial" w:hAnsi="Arial"/>
          <w:b/>
          <w:color w:val="000080"/>
          <w:sz w:val="22"/>
          <w:u w:val="single"/>
        </w:rPr>
      </w:r>
    </w:p>
    <w:p>
      <w:pPr>
        <w:pStyle w:val="Normal"/>
        <w:jc w:val="center"/>
        <w:rPr>
          <w:rFonts w:ascii="Arial" w:hAnsi="Arial" w:cs="Arial"/>
          <w:b/>
          <w:color w:val="000080"/>
          <w:sz w:val="22"/>
          <w:u w:val="single"/>
        </w:rPr>
      </w:pPr>
      <w:r>
        <w:rPr>
          <w:rFonts w:cs="Arial" w:ascii="Arial" w:hAnsi="Arial"/>
          <w:b/>
          <w:color w:val="000080"/>
          <w:sz w:val="22"/>
          <w:u w:val="single"/>
        </w:rPr>
        <w:t>AGENDA OF UPCOMING EVENTS</w:t>
      </w:r>
    </w:p>
    <w:p>
      <w:pPr>
        <w:pStyle w:val="Normal"/>
        <w:jc w:val="center"/>
        <w:rPr>
          <w:rFonts w:ascii="Arial" w:hAnsi="Arial" w:cs="Arial"/>
          <w:b/>
          <w:color w:val="000080"/>
          <w:sz w:val="22"/>
          <w:u w:val="single"/>
        </w:rPr>
      </w:pPr>
      <w:r>
        <w:rPr>
          <w:rFonts w:cs="Arial" w:ascii="Arial" w:hAnsi="Arial"/>
          <w:b/>
          <w:color w:val="000080"/>
          <w:sz w:val="22"/>
          <w:u w:val="single"/>
        </w:rPr>
      </w:r>
    </w:p>
    <w:tbl>
      <w:tblPr>
        <w:tblW w:w="10719" w:type="dxa"/>
        <w:jc w:val="start"/>
        <w:tblInd w:w="-10" w:type="dxa"/>
        <w:tblLayout w:type="fixed"/>
        <w:tblCellMar>
          <w:top w:w="0" w:type="dxa"/>
          <w:start w:w="80" w:type="dxa"/>
          <w:bottom w:w="0" w:type="dxa"/>
          <w:end w:w="80" w:type="dxa"/>
        </w:tblCellMar>
      </w:tblPr>
      <w:tblGrid>
        <w:gridCol w:w="1800"/>
        <w:gridCol w:w="1800"/>
        <w:gridCol w:w="7119"/>
      </w:tblGrid>
      <w:tr>
        <w:trPr/>
        <w:tc>
          <w:tcPr>
            <w:tcW w:w="1800" w:type="dxa"/>
            <w:tcBorders/>
          </w:tcPr>
          <w:p>
            <w:pPr>
              <w:pStyle w:val="Footer"/>
              <w:tabs>
                <w:tab w:val="clear" w:pos="4320"/>
                <w:tab w:val="clear" w:pos="8640"/>
              </w:tabs>
              <w:spacing w:before="40" w:after="0"/>
              <w:rPr>
                <w:rFonts w:ascii="Arial" w:hAnsi="Arial" w:cs="Arial"/>
                <w:b/>
                <w:color w:val="000080"/>
                <w:sz w:val="22"/>
              </w:rPr>
            </w:pPr>
            <w:r>
              <w:rPr>
                <w:rFonts w:cs="Arial" w:ascii="Arial" w:hAnsi="Arial"/>
                <w:b/>
                <w:color w:val="000080"/>
                <w:sz w:val="22"/>
              </w:rPr>
              <w:t>March 15, 2001</w:t>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Washington, DC</w:t>
            </w:r>
          </w:p>
        </w:tc>
        <w:tc>
          <w:tcPr>
            <w:tcW w:w="7119" w:type="dxa"/>
            <w:tcBorders/>
          </w:tcPr>
          <w:p>
            <w:pPr>
              <w:pStyle w:val="Normal"/>
              <w:spacing w:before="40" w:after="0"/>
              <w:rPr>
                <w:rFonts w:ascii="Arial" w:hAnsi="Arial" w:cs="Arial"/>
                <w:b/>
                <w:color w:val="000080"/>
                <w:sz w:val="22"/>
              </w:rPr>
            </w:pPr>
            <w:r>
              <w:rPr>
                <w:rFonts w:cs="Arial" w:ascii="Arial" w:hAnsi="Arial"/>
                <w:b/>
                <w:color w:val="000080"/>
                <w:sz w:val="22"/>
              </w:rPr>
              <w:t>Meeting with the Delegation of the European Commission</w:t>
            </w:r>
          </w:p>
          <w:p>
            <w:pPr>
              <w:pStyle w:val="Normal"/>
              <w:spacing w:before="40" w:after="0"/>
              <w:rPr>
                <w:rFonts w:ascii="Arial" w:hAnsi="Arial" w:cs="Arial"/>
                <w:color w:val="000080"/>
                <w:sz w:val="22"/>
              </w:rPr>
            </w:pPr>
            <w:r>
              <w:rPr>
                <w:rFonts w:cs="Arial" w:ascii="Arial" w:hAnsi="Arial"/>
                <w:color w:val="000080"/>
                <w:sz w:val="22"/>
              </w:rPr>
              <w:t>With Bert van Barlingen and other Members of the Trade Staff</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Topics:</w:t>
            </w:r>
          </w:p>
        </w:tc>
        <w:tc>
          <w:tcPr>
            <w:tcW w:w="7119" w:type="dxa"/>
            <w:tcBorders/>
          </w:tcPr>
          <w:p>
            <w:pPr>
              <w:pStyle w:val="Normal"/>
              <w:spacing w:before="40" w:after="0"/>
              <w:rPr>
                <w:rFonts w:ascii="Arial" w:hAnsi="Arial" w:cs="Arial"/>
                <w:b/>
                <w:color w:val="000080"/>
                <w:sz w:val="22"/>
              </w:rPr>
            </w:pPr>
            <w:r>
              <w:rPr>
                <w:rFonts w:cs="Arial" w:ascii="Arial" w:hAnsi="Arial"/>
                <w:color w:val="000080"/>
                <w:sz w:val="22"/>
              </w:rPr>
              <w:t>Debriefing on Visit to the US of European Commissioner for Trade Pascal Lamy, EU-US Trade Disputes, Launch of WTO Round</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Time:</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4:00 – 5:00 pm</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Location:</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Delegation of the European Commission, 2300 M St., NW</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napToGrid w:val="false"/>
              <w:spacing w:lineRule="exact" w:line="240" w:before="40" w:after="0"/>
              <w:jc w:val="end"/>
              <w:rPr>
                <w:rFonts w:ascii="Arial" w:hAnsi="Arial" w:cs="Arial"/>
                <w:b/>
                <w:i/>
                <w:i/>
                <w:color w:val="000080"/>
                <w:sz w:val="22"/>
              </w:rPr>
            </w:pPr>
            <w:r>
              <w:rPr>
                <w:rFonts w:cs="Arial" w:ascii="Arial" w:hAnsi="Arial"/>
                <w:b/>
                <w:i/>
                <w:color w:val="000080"/>
                <w:sz w:val="22"/>
              </w:rPr>
            </w:r>
          </w:p>
        </w:tc>
        <w:tc>
          <w:tcPr>
            <w:tcW w:w="7119" w:type="dxa"/>
            <w:tcBorders/>
          </w:tcPr>
          <w:p>
            <w:pPr>
              <w:pStyle w:val="Normal"/>
              <w:snapToGrid w:val="false"/>
              <w:spacing w:before="40" w:after="0"/>
              <w:rPr>
                <w:rFonts w:ascii="Arial" w:hAnsi="Arial" w:cs="Arial"/>
                <w:i/>
                <w:i/>
                <w:color w:val="000080"/>
                <w:sz w:val="22"/>
              </w:rPr>
            </w:pPr>
            <w:r>
              <w:rPr>
                <w:rFonts w:cs="Arial" w:ascii="Arial" w:hAnsi="Arial"/>
                <w:i/>
                <w:color w:val="000080"/>
                <w:sz w:val="22"/>
              </w:rPr>
            </w:r>
          </w:p>
        </w:tc>
      </w:tr>
      <w:tr>
        <w:trPr/>
        <w:tc>
          <w:tcPr>
            <w:tcW w:w="1800" w:type="dxa"/>
            <w:tcBorders/>
          </w:tcPr>
          <w:p>
            <w:pPr>
              <w:pStyle w:val="Footer"/>
              <w:tabs>
                <w:tab w:val="clear" w:pos="4320"/>
                <w:tab w:val="clear" w:pos="8640"/>
              </w:tabs>
              <w:spacing w:before="40" w:after="0"/>
              <w:rPr/>
            </w:pPr>
            <w:r>
              <w:rPr>
                <w:rFonts w:cs="Arial" w:ascii="Arial" w:hAnsi="Arial"/>
                <w:b/>
                <w:color w:val="FF0000"/>
                <w:sz w:val="20"/>
              </w:rPr>
              <w:t>*</w:t>
            </w:r>
            <w:r>
              <w:rPr>
                <w:rFonts w:cs="Arial" w:ascii="Arial" w:hAnsi="Arial"/>
                <w:b/>
                <w:color w:val="000080"/>
                <w:sz w:val="22"/>
              </w:rPr>
              <w:t>March 19, 2001</w:t>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Washington, DC</w:t>
            </w:r>
          </w:p>
        </w:tc>
        <w:tc>
          <w:tcPr>
            <w:tcW w:w="7119" w:type="dxa"/>
            <w:tcBorders/>
          </w:tcPr>
          <w:p>
            <w:pPr>
              <w:pStyle w:val="Normal"/>
              <w:spacing w:before="40" w:after="0"/>
              <w:rPr>
                <w:rFonts w:ascii="Arial" w:hAnsi="Arial" w:cs="Arial"/>
                <w:b/>
                <w:color w:val="000080"/>
                <w:sz w:val="22"/>
              </w:rPr>
            </w:pPr>
            <w:r>
              <w:rPr>
                <w:rFonts w:cs="Arial" w:ascii="Arial" w:hAnsi="Arial"/>
                <w:b/>
                <w:color w:val="000080"/>
                <w:sz w:val="22"/>
              </w:rPr>
              <w:t>EABC Luncheon with Swedish Minister for Trade Leif Pagrotsky</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Time:</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12:00 – 2:00 pm</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Location:</w:t>
            </w:r>
          </w:p>
        </w:tc>
        <w:tc>
          <w:tcPr>
            <w:tcW w:w="7119" w:type="dxa"/>
            <w:tcBorders/>
          </w:tcPr>
          <w:p>
            <w:pPr>
              <w:pStyle w:val="Normal"/>
              <w:spacing w:before="40" w:after="0"/>
              <w:rPr>
                <w:rFonts w:ascii="Arial" w:hAnsi="Arial" w:cs="Arial"/>
                <w:b/>
                <w:color w:val="000080"/>
                <w:sz w:val="22"/>
              </w:rPr>
            </w:pPr>
            <w:r>
              <w:rPr>
                <w:rFonts w:cs="Arial" w:ascii="Arial" w:hAnsi="Arial"/>
                <w:color w:val="000080"/>
                <w:sz w:val="22"/>
              </w:rPr>
              <w:t>The Capital Hilton, 1001 16</w:t>
            </w:r>
            <w:r>
              <w:rPr>
                <w:rFonts w:cs="Arial" w:ascii="Arial" w:hAnsi="Arial"/>
                <w:color w:val="000080"/>
                <w:sz w:val="22"/>
                <w:vertAlign w:val="superscript"/>
              </w:rPr>
              <w:t>th</w:t>
            </w:r>
            <w:r>
              <w:rPr>
                <w:rFonts w:cs="Arial" w:ascii="Arial" w:hAnsi="Arial"/>
                <w:color w:val="000080"/>
                <w:sz w:val="22"/>
              </w:rPr>
              <w:t xml:space="preserve"> Street</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napToGrid w:val="false"/>
              <w:spacing w:lineRule="exact" w:line="240" w:before="40" w:after="0"/>
              <w:jc w:val="end"/>
              <w:rPr>
                <w:rFonts w:ascii="Arial" w:hAnsi="Arial" w:cs="Arial"/>
                <w:b/>
                <w:i/>
                <w:i/>
                <w:color w:val="000080"/>
                <w:sz w:val="22"/>
              </w:rPr>
            </w:pPr>
            <w:r>
              <w:rPr>
                <w:rFonts w:cs="Arial" w:ascii="Arial" w:hAnsi="Arial"/>
                <w:b/>
                <w:i/>
                <w:color w:val="000080"/>
                <w:sz w:val="22"/>
              </w:rPr>
            </w:r>
          </w:p>
        </w:tc>
        <w:tc>
          <w:tcPr>
            <w:tcW w:w="7119" w:type="dxa"/>
            <w:tcBorders/>
          </w:tcPr>
          <w:p>
            <w:pPr>
              <w:pStyle w:val="Normal"/>
              <w:snapToGrid w:val="false"/>
              <w:spacing w:before="40" w:after="0"/>
              <w:rPr>
                <w:rFonts w:ascii="Arial" w:hAnsi="Arial" w:cs="Arial"/>
                <w:b/>
                <w:i/>
                <w:i/>
                <w:color w:val="000080"/>
                <w:sz w:val="22"/>
              </w:rPr>
            </w:pPr>
            <w:r>
              <w:rPr>
                <w:rFonts w:cs="Arial" w:ascii="Arial" w:hAnsi="Arial"/>
                <w:b/>
                <w:i/>
                <w:color w:val="000080"/>
                <w:sz w:val="22"/>
              </w:rPr>
            </w:r>
          </w:p>
        </w:tc>
      </w:tr>
      <w:tr>
        <w:trPr/>
        <w:tc>
          <w:tcPr>
            <w:tcW w:w="1800" w:type="dxa"/>
            <w:tcBorders/>
          </w:tcPr>
          <w:p>
            <w:pPr>
              <w:pStyle w:val="Footer"/>
              <w:tabs>
                <w:tab w:val="clear" w:pos="4320"/>
                <w:tab w:val="clear" w:pos="8640"/>
              </w:tabs>
              <w:spacing w:before="40" w:after="0"/>
              <w:rPr/>
            </w:pPr>
            <w:r>
              <w:rPr>
                <w:rFonts w:cs="Arial" w:ascii="Arial" w:hAnsi="Arial"/>
                <w:b/>
                <w:color w:val="FF0000"/>
                <w:sz w:val="20"/>
              </w:rPr>
              <w:t>*</w:t>
            </w:r>
            <w:r>
              <w:rPr>
                <w:rFonts w:cs="Arial" w:ascii="Arial" w:hAnsi="Arial"/>
                <w:b/>
                <w:color w:val="000080"/>
                <w:sz w:val="22"/>
              </w:rPr>
              <w:t>April 3, 2001</w:t>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Washington, DC</w:t>
            </w:r>
          </w:p>
        </w:tc>
        <w:tc>
          <w:tcPr>
            <w:tcW w:w="7119" w:type="dxa"/>
            <w:tcBorders/>
          </w:tcPr>
          <w:p>
            <w:pPr>
              <w:pStyle w:val="Normal"/>
              <w:spacing w:before="40" w:after="0"/>
              <w:rPr>
                <w:rFonts w:ascii="Arial" w:hAnsi="Arial" w:cs="Arial"/>
                <w:b/>
                <w:color w:val="000080"/>
                <w:sz w:val="22"/>
              </w:rPr>
            </w:pPr>
            <w:r>
              <w:rPr>
                <w:rFonts w:cs="Arial" w:ascii="Arial" w:hAnsi="Arial"/>
                <w:b/>
                <w:color w:val="000080"/>
                <w:sz w:val="22"/>
              </w:rPr>
              <w:t>Breakfast with US Senator Max Baucus (D-MT), Ranking Minority Member, Senate Finance Committee Subcommittee on Trade</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Topic:</w:t>
            </w:r>
          </w:p>
        </w:tc>
        <w:tc>
          <w:tcPr>
            <w:tcW w:w="7119" w:type="dxa"/>
            <w:tcBorders/>
          </w:tcPr>
          <w:p>
            <w:pPr>
              <w:pStyle w:val="Normal"/>
              <w:spacing w:before="40" w:after="0"/>
              <w:rPr>
                <w:rFonts w:ascii="Arial" w:hAnsi="Arial" w:cs="Arial"/>
                <w:i/>
                <w:i/>
                <w:color w:val="000080"/>
                <w:sz w:val="22"/>
              </w:rPr>
            </w:pPr>
            <w:r>
              <w:rPr>
                <w:rFonts w:cs="Arial" w:ascii="Arial" w:hAnsi="Arial"/>
                <w:i/>
                <w:color w:val="000080"/>
                <w:sz w:val="22"/>
              </w:rPr>
              <w:t>EU-US Relations: Where Do We Go From Here?</w:t>
            </w:r>
          </w:p>
        </w:tc>
      </w:tr>
      <w:tr>
        <w:trPr/>
        <w:tc>
          <w:tcPr>
            <w:tcW w:w="1800" w:type="dxa"/>
            <w:tcBorders/>
          </w:tcPr>
          <w:p>
            <w:pPr>
              <w:pStyle w:val="Footer"/>
              <w:tabs>
                <w:tab w:val="clear" w:pos="4320"/>
                <w:tab w:val="clear" w:pos="8640"/>
              </w:tabs>
              <w:snapToGrid w:val="false"/>
              <w:spacing w:before="40" w:after="0"/>
              <w:rPr>
                <w:rFonts w:ascii="Arial" w:hAnsi="Arial" w:cs="Arial"/>
                <w:b/>
                <w:i/>
                <w:i/>
                <w:color w:val="000080"/>
                <w:spacing w:val="-2"/>
                <w:sz w:val="22"/>
              </w:rPr>
            </w:pPr>
            <w:r>
              <w:rPr>
                <w:rFonts w:cs="Arial" w:ascii="Arial" w:hAnsi="Arial"/>
                <w:b/>
                <w:i/>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Time:</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8:30 – 9:30 am</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Location:</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TBA</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Cost:</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TBA</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napToGrid w:val="false"/>
              <w:spacing w:lineRule="exact" w:line="240" w:before="40" w:after="0"/>
              <w:jc w:val="end"/>
              <w:rPr>
                <w:rFonts w:ascii="Arial" w:hAnsi="Arial" w:cs="Arial"/>
                <w:b/>
                <w:i/>
                <w:i/>
                <w:color w:val="000080"/>
                <w:sz w:val="22"/>
              </w:rPr>
            </w:pPr>
            <w:r>
              <w:rPr>
                <w:rFonts w:cs="Arial" w:ascii="Arial" w:hAnsi="Arial"/>
                <w:b/>
                <w:i/>
                <w:color w:val="000080"/>
                <w:sz w:val="22"/>
              </w:rPr>
            </w:r>
          </w:p>
        </w:tc>
        <w:tc>
          <w:tcPr>
            <w:tcW w:w="7119" w:type="dxa"/>
            <w:tcBorders/>
          </w:tcPr>
          <w:p>
            <w:pPr>
              <w:pStyle w:val="Normal"/>
              <w:snapToGrid w:val="false"/>
              <w:spacing w:before="40" w:after="0"/>
              <w:rPr>
                <w:rFonts w:ascii="Arial" w:hAnsi="Arial" w:cs="Arial"/>
                <w:b/>
                <w:i/>
                <w:i/>
                <w:color w:val="000080"/>
                <w:sz w:val="22"/>
              </w:rPr>
            </w:pPr>
            <w:r>
              <w:rPr>
                <w:rFonts w:cs="Arial" w:ascii="Arial" w:hAnsi="Arial"/>
                <w:b/>
                <w:i/>
                <w:color w:val="000080"/>
                <w:sz w:val="22"/>
              </w:rPr>
            </w:r>
          </w:p>
        </w:tc>
      </w:tr>
      <w:tr>
        <w:trPr/>
        <w:tc>
          <w:tcPr>
            <w:tcW w:w="1800" w:type="dxa"/>
            <w:tcBorders/>
          </w:tcPr>
          <w:p>
            <w:pPr>
              <w:pStyle w:val="Footer"/>
              <w:tabs>
                <w:tab w:val="clear" w:pos="4320"/>
                <w:tab w:val="clear" w:pos="8640"/>
              </w:tabs>
              <w:spacing w:before="40" w:after="0"/>
              <w:rPr>
                <w:rFonts w:ascii="Arial" w:hAnsi="Arial" w:cs="Arial"/>
                <w:b/>
                <w:color w:val="000080"/>
                <w:sz w:val="22"/>
              </w:rPr>
            </w:pPr>
            <w:r>
              <w:rPr>
                <w:rFonts w:cs="Arial" w:ascii="Arial" w:hAnsi="Arial"/>
                <w:b/>
                <w:color w:val="000080"/>
                <w:sz w:val="22"/>
              </w:rPr>
              <w:t>April 4, 2001</w:t>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Washington, DC</w:t>
            </w:r>
          </w:p>
        </w:tc>
        <w:tc>
          <w:tcPr>
            <w:tcW w:w="7119" w:type="dxa"/>
            <w:tcBorders/>
          </w:tcPr>
          <w:p>
            <w:pPr>
              <w:pStyle w:val="Normal"/>
              <w:spacing w:before="40" w:after="0"/>
              <w:rPr>
                <w:rFonts w:ascii="Arial" w:hAnsi="Arial" w:cs="Arial"/>
                <w:b/>
                <w:color w:val="000080"/>
                <w:sz w:val="22"/>
              </w:rPr>
            </w:pPr>
            <w:r>
              <w:rPr>
                <w:rFonts w:cs="Arial" w:ascii="Arial" w:hAnsi="Arial"/>
                <w:b/>
                <w:color w:val="000080"/>
                <w:sz w:val="22"/>
              </w:rPr>
              <w:t>Washington Representatives Meeting</w:t>
            </w:r>
          </w:p>
          <w:p>
            <w:pPr>
              <w:pStyle w:val="Normal"/>
              <w:spacing w:before="40" w:after="0"/>
              <w:rPr>
                <w:rFonts w:ascii="Arial" w:hAnsi="Arial" w:cs="Arial"/>
                <w:color w:val="000080"/>
                <w:sz w:val="22"/>
              </w:rPr>
            </w:pPr>
            <w:r>
              <w:rPr>
                <w:rFonts w:cs="Arial" w:ascii="Arial" w:hAnsi="Arial"/>
                <w:color w:val="000080"/>
                <w:sz w:val="22"/>
              </w:rPr>
              <w:t>With Tim Reif, Chief Trade Counsel, Minority Staff, House Ways &amp; Means Committee</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Topics:</w:t>
            </w:r>
          </w:p>
        </w:tc>
        <w:tc>
          <w:tcPr>
            <w:tcW w:w="7119" w:type="dxa"/>
            <w:tcBorders/>
          </w:tcPr>
          <w:p>
            <w:pPr>
              <w:pStyle w:val="Normal"/>
              <w:spacing w:before="40" w:after="0"/>
              <w:rPr/>
            </w:pPr>
            <w:r>
              <w:rPr>
                <w:rFonts w:cs="Arial" w:ascii="Arial" w:hAnsi="Arial"/>
                <w:i/>
                <w:color w:val="000080"/>
                <w:sz w:val="22"/>
              </w:rPr>
              <w:t>Trade Issues in the 107</w:t>
            </w:r>
            <w:r>
              <w:rPr>
                <w:rFonts w:cs="Arial" w:ascii="Arial" w:hAnsi="Arial"/>
                <w:i/>
                <w:color w:val="000080"/>
                <w:sz w:val="22"/>
                <w:vertAlign w:val="superscript"/>
              </w:rPr>
              <w:t>th</w:t>
            </w:r>
            <w:r>
              <w:rPr>
                <w:rFonts w:cs="Arial" w:ascii="Arial" w:hAnsi="Arial"/>
                <w:i/>
                <w:color w:val="000080"/>
                <w:sz w:val="22"/>
              </w:rPr>
              <w:t xml:space="preserve"> Congress</w:t>
            </w:r>
          </w:p>
        </w:tc>
      </w:tr>
      <w:tr>
        <w:trPr/>
        <w:tc>
          <w:tcPr>
            <w:tcW w:w="1800" w:type="dxa"/>
            <w:tcBorders/>
          </w:tcPr>
          <w:p>
            <w:pPr>
              <w:pStyle w:val="Footer"/>
              <w:tabs>
                <w:tab w:val="clear" w:pos="4320"/>
                <w:tab w:val="clear" w:pos="8640"/>
              </w:tabs>
              <w:snapToGrid w:val="false"/>
              <w:spacing w:before="40" w:after="0"/>
              <w:rPr>
                <w:rFonts w:ascii="Arial" w:hAnsi="Arial" w:cs="Arial"/>
                <w:b/>
                <w:i/>
                <w:i/>
                <w:color w:val="000080"/>
                <w:spacing w:val="-2"/>
                <w:sz w:val="22"/>
              </w:rPr>
            </w:pPr>
            <w:r>
              <w:rPr>
                <w:rFonts w:cs="Arial" w:ascii="Arial" w:hAnsi="Arial"/>
                <w:b/>
                <w:i/>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Time:</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8:30 – 9:30 am</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Location:</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TBA</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napToGrid w:val="false"/>
              <w:spacing w:lineRule="exact" w:line="240" w:before="40" w:after="0"/>
              <w:jc w:val="end"/>
              <w:rPr>
                <w:rFonts w:ascii="Arial" w:hAnsi="Arial" w:cs="Arial"/>
                <w:b/>
                <w:i/>
                <w:i/>
                <w:color w:val="000080"/>
                <w:sz w:val="22"/>
              </w:rPr>
            </w:pPr>
            <w:r>
              <w:rPr>
                <w:rFonts w:cs="Arial" w:ascii="Arial" w:hAnsi="Arial"/>
                <w:b/>
                <w:i/>
                <w:color w:val="000080"/>
                <w:sz w:val="22"/>
              </w:rPr>
            </w:r>
          </w:p>
        </w:tc>
        <w:tc>
          <w:tcPr>
            <w:tcW w:w="7119" w:type="dxa"/>
            <w:tcBorders/>
          </w:tcPr>
          <w:p>
            <w:pPr>
              <w:pStyle w:val="Normal"/>
              <w:snapToGrid w:val="false"/>
              <w:spacing w:before="40" w:after="0"/>
              <w:rPr>
                <w:rFonts w:ascii="Arial" w:hAnsi="Arial" w:cs="Arial"/>
                <w:b/>
                <w:i/>
                <w:i/>
                <w:color w:val="000080"/>
                <w:sz w:val="22"/>
              </w:rPr>
            </w:pPr>
            <w:r>
              <w:rPr>
                <w:rFonts w:cs="Arial" w:ascii="Arial" w:hAnsi="Arial"/>
                <w:b/>
                <w:i/>
                <w:color w:val="000080"/>
                <w:sz w:val="22"/>
              </w:rPr>
            </w:r>
          </w:p>
        </w:tc>
      </w:tr>
      <w:tr>
        <w:trPr/>
        <w:tc>
          <w:tcPr>
            <w:tcW w:w="1800" w:type="dxa"/>
            <w:tcBorders/>
          </w:tcPr>
          <w:p>
            <w:pPr>
              <w:pStyle w:val="Footer"/>
              <w:tabs>
                <w:tab w:val="clear" w:pos="4320"/>
                <w:tab w:val="clear" w:pos="8640"/>
              </w:tabs>
              <w:spacing w:before="40" w:after="0"/>
              <w:rPr>
                <w:rFonts w:ascii="Arial" w:hAnsi="Arial" w:cs="Arial"/>
                <w:b/>
                <w:color w:val="000080"/>
                <w:sz w:val="22"/>
              </w:rPr>
            </w:pPr>
            <w:r>
              <w:rPr>
                <w:rFonts w:cs="Arial" w:ascii="Arial" w:hAnsi="Arial"/>
                <w:b/>
                <w:color w:val="000080"/>
                <w:sz w:val="22"/>
              </w:rPr>
              <w:t>April 25, 2001</w:t>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Washington, DC</w:t>
            </w:r>
          </w:p>
        </w:tc>
        <w:tc>
          <w:tcPr>
            <w:tcW w:w="7119" w:type="dxa"/>
            <w:tcBorders/>
          </w:tcPr>
          <w:p>
            <w:pPr>
              <w:pStyle w:val="Normal"/>
              <w:spacing w:before="40" w:after="0"/>
              <w:rPr>
                <w:rFonts w:ascii="Arial" w:hAnsi="Arial" w:cs="Arial"/>
                <w:b/>
                <w:color w:val="000080"/>
                <w:sz w:val="22"/>
              </w:rPr>
            </w:pPr>
            <w:r>
              <w:rPr>
                <w:rFonts w:cs="Arial" w:ascii="Arial" w:hAnsi="Arial"/>
                <w:b/>
                <w:color w:val="000080"/>
                <w:sz w:val="22"/>
              </w:rPr>
              <w:t>Congressional Study Group Luncheon</w:t>
            </w:r>
          </w:p>
          <w:p>
            <w:pPr>
              <w:pStyle w:val="Normal"/>
              <w:spacing w:before="40" w:after="0"/>
              <w:rPr>
                <w:rFonts w:ascii="Arial" w:hAnsi="Arial" w:cs="Arial"/>
                <w:color w:val="000080"/>
                <w:sz w:val="22"/>
              </w:rPr>
            </w:pPr>
            <w:r>
              <w:rPr>
                <w:rFonts w:cs="Arial" w:ascii="Arial" w:hAnsi="Arial"/>
                <w:color w:val="000080"/>
                <w:sz w:val="22"/>
              </w:rPr>
              <w:t>With Senate Finance Committee Chairman Chuck Grassley (R-IA)</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Topic:</w:t>
            </w:r>
          </w:p>
        </w:tc>
        <w:tc>
          <w:tcPr>
            <w:tcW w:w="7119" w:type="dxa"/>
            <w:tcBorders/>
          </w:tcPr>
          <w:p>
            <w:pPr>
              <w:pStyle w:val="Normal"/>
              <w:spacing w:before="40" w:after="0"/>
              <w:rPr>
                <w:rFonts w:ascii="Arial" w:hAnsi="Arial" w:cs="Arial"/>
                <w:i/>
                <w:i/>
                <w:color w:val="000080"/>
                <w:sz w:val="22"/>
              </w:rPr>
            </w:pPr>
            <w:r>
              <w:rPr>
                <w:rFonts w:cs="Arial" w:ascii="Arial" w:hAnsi="Arial"/>
                <w:i/>
                <w:color w:val="000080"/>
                <w:sz w:val="22"/>
              </w:rPr>
              <w:t>The Transatlantic Trade and Investment Relationship</w:t>
            </w:r>
          </w:p>
        </w:tc>
      </w:tr>
      <w:tr>
        <w:trPr/>
        <w:tc>
          <w:tcPr>
            <w:tcW w:w="1800" w:type="dxa"/>
            <w:tcBorders/>
          </w:tcPr>
          <w:p>
            <w:pPr>
              <w:pStyle w:val="Footer"/>
              <w:tabs>
                <w:tab w:val="clear" w:pos="4320"/>
                <w:tab w:val="clear" w:pos="8640"/>
              </w:tabs>
              <w:snapToGrid w:val="false"/>
              <w:spacing w:before="40" w:after="0"/>
              <w:rPr>
                <w:rFonts w:ascii="Arial" w:hAnsi="Arial" w:cs="Arial"/>
                <w:b/>
                <w:i/>
                <w:i/>
                <w:color w:val="000080"/>
                <w:spacing w:val="-2"/>
                <w:sz w:val="22"/>
              </w:rPr>
            </w:pPr>
            <w:r>
              <w:rPr>
                <w:rFonts w:cs="Arial" w:ascii="Arial" w:hAnsi="Arial"/>
                <w:b/>
                <w:i/>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Time:</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12:00 – 2:00 pm</w:t>
            </w:r>
          </w:p>
        </w:tc>
      </w:tr>
      <w:tr>
        <w:trPr/>
        <w:tc>
          <w:tcPr>
            <w:tcW w:w="1800" w:type="dxa"/>
            <w:tcBorders/>
          </w:tcPr>
          <w:p>
            <w:pPr>
              <w:pStyle w:val="Footer"/>
              <w:tabs>
                <w:tab w:val="clear" w:pos="4320"/>
                <w:tab w:val="clear" w:pos="8640"/>
              </w:tabs>
              <w:snapToGrid w:val="false"/>
              <w:spacing w:before="40" w:after="0"/>
              <w:rPr>
                <w:rFonts w:ascii="Arial" w:hAnsi="Arial" w:cs="Arial"/>
                <w:b/>
                <w:color w:val="000080"/>
                <w:spacing w:val="-2"/>
                <w:sz w:val="22"/>
              </w:rPr>
            </w:pPr>
            <w:r>
              <w:rPr>
                <w:rFonts w:cs="Arial" w:ascii="Arial" w:hAnsi="Arial"/>
                <w:b/>
                <w:color w:val="000080"/>
                <w:spacing w:val="-2"/>
                <w:sz w:val="22"/>
              </w:rPr>
            </w:r>
          </w:p>
        </w:tc>
        <w:tc>
          <w:tcPr>
            <w:tcW w:w="1800" w:type="dxa"/>
            <w:tcBorders/>
          </w:tcPr>
          <w:p>
            <w:pPr>
              <w:pStyle w:val="Normal"/>
              <w:tabs>
                <w:tab w:val="clear" w:pos="720"/>
                <w:tab w:val="left" w:pos="-1519" w:leader="none"/>
                <w:tab w:val="left" w:pos="-799" w:leader="none"/>
                <w:tab w:val="left" w:pos="-79" w:leader="none"/>
              </w:tabs>
              <w:suppressAutoHyphens w:val="true"/>
              <w:spacing w:lineRule="exact" w:line="240" w:before="40" w:after="0"/>
              <w:jc w:val="end"/>
              <w:rPr>
                <w:rFonts w:ascii="Arial" w:hAnsi="Arial" w:cs="Arial"/>
                <w:i/>
                <w:i/>
                <w:color w:val="000080"/>
                <w:sz w:val="22"/>
              </w:rPr>
            </w:pPr>
            <w:r>
              <w:rPr>
                <w:rFonts w:cs="Arial" w:ascii="Arial" w:hAnsi="Arial"/>
                <w:i/>
                <w:color w:val="000080"/>
                <w:sz w:val="22"/>
              </w:rPr>
              <w:t>Location:</w:t>
            </w:r>
          </w:p>
        </w:tc>
        <w:tc>
          <w:tcPr>
            <w:tcW w:w="7119" w:type="dxa"/>
            <w:tcBorders/>
          </w:tcPr>
          <w:p>
            <w:pPr>
              <w:pStyle w:val="Normal"/>
              <w:spacing w:before="40" w:after="0"/>
              <w:rPr>
                <w:rFonts w:ascii="Arial" w:hAnsi="Arial" w:cs="Arial"/>
                <w:color w:val="000080"/>
                <w:sz w:val="22"/>
              </w:rPr>
            </w:pPr>
            <w:r>
              <w:rPr>
                <w:rFonts w:cs="Arial" w:ascii="Arial" w:hAnsi="Arial"/>
                <w:color w:val="000080"/>
                <w:sz w:val="22"/>
              </w:rPr>
              <w:t>901 Hart Senate Office Building</w:t>
            </w:r>
          </w:p>
          <w:p>
            <w:pPr>
              <w:pStyle w:val="Normal"/>
              <w:spacing w:before="40" w:after="0"/>
              <w:rPr>
                <w:rFonts w:ascii="Arial" w:hAnsi="Arial" w:cs="Arial"/>
                <w:color w:val="000080"/>
                <w:sz w:val="22"/>
              </w:rPr>
            </w:pPr>
            <w:r>
              <w:rPr>
                <w:rFonts w:cs="Arial" w:ascii="Arial" w:hAnsi="Arial"/>
                <w:color w:val="000080"/>
                <w:sz w:val="22"/>
              </w:rPr>
              <w:t>US Senate</w:t>
            </w:r>
          </w:p>
        </w:tc>
      </w:tr>
    </w:tbl>
    <w:p>
      <w:pPr>
        <w:pStyle w:val="Normal"/>
        <w:rPr>
          <w:rFonts w:ascii="Arial" w:hAnsi="Arial" w:cs="Arial"/>
          <w:sz w:val="22"/>
        </w:rPr>
      </w:pPr>
      <w:r>
        <w:rPr>
          <w:rFonts w:cs="Arial" w:ascii="Arial" w:hAnsi="Arial"/>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jc w:val="center"/>
        <w:rPr>
          <w:rFonts w:ascii="Arial" w:hAnsi="Arial" w:cs="Arial"/>
          <w:b/>
          <w:color w:val="FF0000"/>
          <w:sz w:val="20"/>
        </w:rPr>
      </w:pPr>
      <w:r>
        <w:rPr>
          <w:rFonts w:cs="Arial" w:ascii="Arial" w:hAnsi="Arial"/>
          <w:b/>
          <w:color w:val="FF0000"/>
          <w:sz w:val="20"/>
        </w:rPr>
        <w:t>*Denotes new or updated entry</w:t>
      </w:r>
    </w:p>
    <w:sectPr>
      <w:headerReference w:type="default" r:id="rId12"/>
      <w:headerReference w:type="first" r:id="rId13"/>
      <w:footerReference w:type="default" r:id="rId14"/>
      <w:footerReference w:type="first" r:id="rId15"/>
      <w:type w:val="nextPage"/>
      <w:pgSz w:w="12120" w:h="15840"/>
      <w:pgMar w:left="720" w:right="720" w:gutter="0" w:header="720" w:top="990" w:footer="778" w:bottom="8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 w:name="Tahoma">
    <w:charset w:val="00" w:characterSet="windows-1252"/>
    <w:family w:val="swiss"/>
    <w:pitch w:val="variable"/>
  </w:font>
  <w:font w:name="Franklin Gothic Medium">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i/>
        <w:i/>
        <w:sz w:val="22"/>
      </w:rPr>
    </w:pPr>
    <w:r>
      <w:rPr>
        <w:b/>
        <w:i/>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620" w:leader="none"/>
      </w:tabs>
      <w:jc w:val="both"/>
      <w:rPr>
        <w:rFonts w:ascii="Arial" w:hAnsi="Arial" w:cs="Arial"/>
        <w:b/>
        <w:sz w:val="18"/>
        <w:u w:val="single"/>
      </w:rPr>
    </w:pPr>
    <w:r>
      <w:rPr>
        <w:rFonts w:cs="Arial" w:ascii="Arial" w:hAnsi="Arial"/>
        <w:b/>
        <w:sz w:val="18"/>
        <w:u w:val="single"/>
      </w:rPr>
      <w:tab/>
      <w:tab/>
    </w:r>
  </w:p>
  <w:p>
    <w:pPr>
      <w:pStyle w:val="Footer"/>
      <w:jc w:val="both"/>
      <w:rPr/>
    </w:pPr>
    <w:r>
      <w:rPr>
        <w:rFonts w:cs="Arial" w:ascii="Arial" w:hAnsi="Arial"/>
        <w:b/>
        <w:sz w:val="16"/>
      </w:rPr>
      <w:t xml:space="preserve">ABSTRACTS </w:t>
    </w:r>
    <w:r>
      <w:rPr>
        <w:rFonts w:cs="Arial" w:ascii="Arial" w:hAnsi="Arial"/>
        <w:sz w:val="16"/>
      </w:rPr>
      <w:t>is distributed weekly by the European-American Business Council, 1333 H Street, NW, Washington, DC, 20005, Tel: 202.347-9292, Fax: 202.628-5498, Internet: www.eabc.org.  Chairman, Don Reed; President, Willard Berry; Managing Editor, Jim Sheire; Contributor, Liz Batchelder.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260" w:leader="none"/>
      </w:tabs>
      <w:rPr>
        <w:rFonts w:ascii="HELVETICA" w:hAnsi="HELVETICA" w:cs="HELVETICA"/>
        <w:sz w:val="22"/>
      </w:rPr>
    </w:pPr>
    <w:r>
      <w:rPr>
        <w:rFonts w:cs="HELVETICA" w:ascii="HELVETICA" w:hAnsi="HELVETICA"/>
        <w:b/>
        <w:i/>
        <w:sz w:val="22"/>
      </w:rPr>
      <w:t>EABC ABSTRACTS</w:t>
    </w:r>
    <w:r>
      <w:rPr>
        <w:rFonts w:cs="HELVETICA" w:ascii="HELVETICA" w:hAnsi="HELVETICA"/>
        <w:b/>
        <w:sz w:val="22"/>
      </w:rPr>
      <w:tab/>
      <w:tab/>
      <w:t xml:space="preserve">PAGE </w:t>
    </w:r>
    <w:r>
      <w:rPr>
        <w:rFonts w:cs="HELVETICA" w:ascii="HELVETICA" w:hAnsi="HELVETICA"/>
        <w:b/>
        <w:sz w:val="22"/>
      </w:rPr>
      <w:fldChar w:fldCharType="begin"/>
    </w:r>
    <w:r>
      <w:rPr>
        <w:sz w:val="22"/>
        <w:b/>
        <w:rFonts w:cs="HELVETICA" w:ascii="HELVETICA" w:hAnsi="HELVETICA"/>
      </w:rPr>
      <w:instrText xml:space="preserve"> PAGE \* ARABIC </w:instrText>
    </w:r>
    <w:r>
      <w:rPr>
        <w:sz w:val="22"/>
        <w:b/>
        <w:rFonts w:cs="HELVETICA" w:ascii="HELVETICA" w:hAnsi="HELVETICA"/>
      </w:rPr>
      <w:fldChar w:fldCharType="separate"/>
    </w:r>
    <w:r>
      <w:rPr>
        <w:sz w:val="22"/>
        <w:b/>
        <w:rFonts w:cs="HELVETICA" w:ascii="HELVETICA" w:hAnsi="HELVETICA"/>
      </w:rPr>
      <w:t>4</w:t>
    </w:r>
    <w:r>
      <w:rPr>
        <w:sz w:val="22"/>
        <w:b/>
        <w:rFonts w:cs="HELVETICA" w:ascii="HELVETICA" w:hAnsi="HELVETICA"/>
      </w:rPr>
      <w:fldChar w:fldCharType="end"/>
    </w:r>
    <w:r>
      <w:rPr>
        <w:rFonts w:cs="HELVETICA" w:ascii="HELVETICA" w:hAnsi="HELVETICA"/>
        <w:b/>
        <w:sz w:val="22"/>
      </w:rPr>
      <w:t xml:space="preserve"> OF 4</w:t>
    </w:r>
  </w:p>
  <w:p>
    <w:pPr>
      <w:pStyle w:val="Header"/>
      <w:pBdr>
        <w:top w:val="single" w:sz="6" w:space="0" w:color="000000"/>
      </w:pBdr>
      <w:rPr>
        <w:rFonts w:ascii="HELVETICA" w:hAnsi="HELVETICA" w:cs="HELVETICA"/>
        <w:sz w:val="22"/>
      </w:rPr>
    </w:pPr>
    <w:r>
      <w:rPr>
        <w:rFonts w:cs="HELVETICA" w:ascii="HELVETICA" w:hAnsi="HELVETICA"/>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0" w:color="000000"/>
      </w:pBdr>
      <w:ind w:start="2700" w:end="820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720"/>
        <w:tab w:val="left" w:pos="440" w:leader="none"/>
      </w:tabs>
      <w:spacing w:lineRule="exact" w:line="240"/>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tabs>
        <w:tab w:val="clear" w:pos="720"/>
        <w:tab w:val="left" w:pos="440" w:leader="none"/>
      </w:tabs>
      <w:spacing w:lineRule="exact" w:line="240"/>
      <w:jc w:val="center"/>
      <w:outlineLvl w:val="2"/>
    </w:pPr>
    <w:rPr>
      <w:rFonts w:ascii="Arial" w:hAnsi="Arial" w:cs="Arial"/>
      <w:b/>
      <w:sz w:val="22"/>
      <w:u w:val="single"/>
    </w:rPr>
  </w:style>
  <w:style w:type="paragraph" w:styleId="Heading4">
    <w:name w:val="heading 4"/>
    <w:basedOn w:val="Normal"/>
    <w:next w:val="Normal"/>
    <w:qFormat/>
    <w:pPr>
      <w:keepNext w:val="true"/>
      <w:numPr>
        <w:ilvl w:val="3"/>
        <w:numId w:val="1"/>
      </w:numPr>
      <w:spacing w:lineRule="exact" w:line="240"/>
      <w:jc w:val="end"/>
      <w:outlineLvl w:val="3"/>
    </w:pPr>
    <w:rPr>
      <w:rFonts w:ascii="HELVETICA" w:hAnsi="HELVETICA" w:cs="HELVETICA"/>
      <w:i/>
      <w:sz w:val="22"/>
    </w:rPr>
  </w:style>
  <w:style w:type="paragraph" w:styleId="Heading5">
    <w:name w:val="heading 5"/>
    <w:basedOn w:val="Normal"/>
    <w:next w:val="Normal"/>
    <w:qFormat/>
    <w:pPr>
      <w:keepNext w:val="true"/>
      <w:numPr>
        <w:ilvl w:val="4"/>
        <w:numId w:val="1"/>
      </w:numPr>
      <w:tabs>
        <w:tab w:val="clear" w:pos="720"/>
        <w:tab w:val="left" w:pos="440" w:leader="none"/>
      </w:tabs>
      <w:spacing w:lineRule="exact" w:line="240"/>
      <w:jc w:val="both"/>
      <w:outlineLvl w:val="4"/>
    </w:pPr>
    <w:rPr>
      <w:rFonts w:ascii="Arial" w:hAnsi="Arial" w:cs="Arial"/>
      <w:i/>
      <w:sz w:val="20"/>
    </w:rPr>
  </w:style>
  <w:style w:type="paragraph" w:styleId="Heading6">
    <w:name w:val="heading 6"/>
    <w:basedOn w:val="Normal"/>
    <w:next w:val="Normal"/>
    <w:qFormat/>
    <w:pPr>
      <w:keepNext w:val="true"/>
      <w:numPr>
        <w:ilvl w:val="5"/>
        <w:numId w:val="1"/>
      </w:numPr>
      <w:tabs>
        <w:tab w:val="clear" w:pos="720"/>
        <w:tab w:val="left" w:pos="440" w:leader="none"/>
      </w:tabs>
      <w:spacing w:lineRule="exact" w:line="240"/>
      <w:jc w:val="both"/>
      <w:outlineLvl w:val="5"/>
    </w:pPr>
    <w:rPr>
      <w:rFonts w:ascii="Arial" w:hAnsi="Arial" w:cs="Arial"/>
      <w:b/>
      <w:sz w:val="22"/>
    </w:rPr>
  </w:style>
  <w:style w:type="paragraph" w:styleId="Heading7">
    <w:name w:val="heading 7"/>
    <w:basedOn w:val="Normal"/>
    <w:next w:val="Normal"/>
    <w:qFormat/>
    <w:pPr>
      <w:keepNext w:val="true"/>
      <w:numPr>
        <w:ilvl w:val="6"/>
        <w:numId w:val="1"/>
      </w:numPr>
      <w:tabs>
        <w:tab w:val="clear" w:pos="720"/>
        <w:tab w:val="left" w:pos="440" w:leader="none"/>
      </w:tabs>
      <w:spacing w:lineRule="exact" w:line="240"/>
      <w:jc w:val="both"/>
      <w:outlineLvl w:val="6"/>
    </w:pPr>
    <w:rPr>
      <w:rFonts w:ascii="Arial" w:hAnsi="Arial" w:cs="Arial"/>
      <w:i/>
      <w:sz w:val="22"/>
    </w:rPr>
  </w:style>
  <w:style w:type="paragraph" w:styleId="Heading8">
    <w:name w:val="heading 8"/>
    <w:basedOn w:val="Normal"/>
    <w:next w:val="Normal"/>
    <w:qFormat/>
    <w:pPr>
      <w:keepNext w:val="true"/>
      <w:numPr>
        <w:ilvl w:val="7"/>
        <w:numId w:val="1"/>
      </w:numPr>
      <w:tabs>
        <w:tab w:val="clear" w:pos="720"/>
        <w:tab w:val="left" w:pos="-3409" w:leader="none"/>
        <w:tab w:val="left" w:pos="-2970" w:leader="none"/>
        <w:tab w:val="left" w:pos="-2689" w:leader="none"/>
        <w:tab w:val="left" w:pos="-1969" w:leader="none"/>
        <w:tab w:val="left" w:pos="-1249" w:leader="none"/>
        <w:tab w:val="left" w:pos="-529" w:leader="none"/>
        <w:tab w:val="left" w:pos="191" w:leader="none"/>
        <w:tab w:val="left" w:pos="911" w:leader="none"/>
        <w:tab w:val="left" w:pos="1631" w:leader="none"/>
        <w:tab w:val="left" w:pos="2351" w:leader="none"/>
        <w:tab w:val="left" w:pos="3071" w:leader="none"/>
      </w:tabs>
      <w:suppressAutoHyphens w:val="true"/>
      <w:spacing w:lineRule="exact" w:line="240"/>
      <w:jc w:val="both"/>
      <w:outlineLvl w:val="7"/>
    </w:pPr>
    <w:rPr>
      <w:rFonts w:ascii="Arial" w:hAnsi="Arial" w:cs="Arial"/>
      <w:b/>
      <w:color w:val="000000"/>
      <w:spacing w:val="-2"/>
      <w:sz w:val="22"/>
    </w:rPr>
  </w:style>
  <w:style w:type="paragraph" w:styleId="Heading9">
    <w:name w:val="heading 9"/>
    <w:basedOn w:val="Normal"/>
    <w:next w:val="Normal"/>
    <w:qFormat/>
    <w:pPr>
      <w:keepNext w:val="true"/>
      <w:numPr>
        <w:ilvl w:val="8"/>
        <w:numId w:val="1"/>
      </w:numPr>
      <w:tabs>
        <w:tab w:val="clear" w:pos="720"/>
        <w:tab w:val="left" w:pos="-3409" w:leader="none"/>
        <w:tab w:val="left" w:pos="-2970" w:leader="none"/>
        <w:tab w:val="left" w:pos="-2689" w:leader="none"/>
        <w:tab w:val="left" w:pos="-1969" w:leader="none"/>
        <w:tab w:val="left" w:pos="-1249" w:leader="none"/>
        <w:tab w:val="left" w:pos="-529" w:leader="none"/>
        <w:tab w:val="left" w:pos="191" w:leader="none"/>
        <w:tab w:val="left" w:pos="911" w:leader="none"/>
        <w:tab w:val="left" w:pos="1631" w:leader="none"/>
        <w:tab w:val="left" w:pos="2351" w:leader="none"/>
        <w:tab w:val="left" w:pos="3071" w:leader="none"/>
      </w:tabs>
      <w:suppressAutoHyphens w:val="true"/>
      <w:spacing w:lineRule="exact" w:line="240"/>
      <w:jc w:val="both"/>
      <w:outlineLvl w:val="8"/>
    </w:pPr>
    <w:rPr>
      <w:rFonts w:ascii="Arial" w:hAnsi="Arial" w:cs="Arial"/>
      <w:i/>
      <w:color w:val="000000"/>
      <w:spacing w:val="-2"/>
      <w:sz w:val="22"/>
    </w:rPr>
  </w:style>
  <w:style w:type="character" w:styleId="WW8Num1z0">
    <w:name w:val="WW8Num1z0"/>
    <w:qFormat/>
    <w:rPr>
      <w:rFonts w:ascii="Symbol" w:hAnsi="Symbol" w:cs="Symbol"/>
      <w:sz w:val="20"/>
    </w:rPr>
  </w:style>
  <w:style w:type="character" w:styleId="WW8Num2z0">
    <w:name w:val="WW8Num2z0"/>
    <w:qFormat/>
    <w:rPr>
      <w:rFonts w:ascii="Symbol" w:hAnsi="Symbol" w:cs="Symbol"/>
      <w:color w:val="auto"/>
      <w:sz w:val="30"/>
    </w:rPr>
  </w:style>
  <w:style w:type="character" w:styleId="WW8Num3z0">
    <w:name w:val="WW8Num3z0"/>
    <w:qFormat/>
    <w:rPr>
      <w:rFonts w:ascii="Symbol" w:hAnsi="Symbol" w:cs="Symbol"/>
      <w:sz w:val="20"/>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Symbol" w:hAnsi="Symbol" w:cs="Symbol"/>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sz w:val="20"/>
    </w:rPr>
  </w:style>
  <w:style w:type="character" w:styleId="WW8Num14z0">
    <w:name w:val="WW8Num14z0"/>
    <w:qFormat/>
    <w:rPr>
      <w:rFonts w:ascii="Symbol" w:hAnsi="Symbol"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auto"/>
      <w:sz w:val="30"/>
    </w:rPr>
  </w:style>
  <w:style w:type="character" w:styleId="WW8Num17z0">
    <w:name w:val="WW8Num17z0"/>
    <w:qFormat/>
    <w:rPr>
      <w:rFonts w:ascii="Symbol" w:hAnsi="Symbol" w:cs="Symbol"/>
      <w:sz w:val="20"/>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auto"/>
      <w:sz w:val="28"/>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rFonts w:ascii="Symbol" w:hAnsi="Symbol" w:cs="Symbol"/>
      <w:sz w:val="20"/>
    </w:rPr>
  </w:style>
  <w:style w:type="character" w:styleId="WW8Num25z0">
    <w:name w:val="WW8Num25z0"/>
    <w:qFormat/>
    <w:rPr>
      <w:rFonts w:ascii="Symbol" w:hAnsi="Symbol" w:cs="Symbol"/>
    </w:rPr>
  </w:style>
  <w:style w:type="character" w:styleId="WW8Num27z0">
    <w:name w:val="WW8Num27z0"/>
    <w:qFormat/>
    <w:rPr>
      <w:rFonts w:ascii="Symbol" w:hAnsi="Symbol" w:cs="Symbol"/>
      <w:color w:val="auto"/>
      <w:sz w:val="30"/>
    </w:rPr>
  </w:style>
  <w:style w:type="character" w:styleId="WW8Num28z0">
    <w:name w:val="WW8Num28z0"/>
    <w:qFormat/>
    <w:rPr>
      <w:rFonts w:ascii="Symbol" w:hAnsi="Symbol" w:cs="Symbol"/>
      <w:sz w:val="20"/>
    </w:rPr>
  </w:style>
  <w:style w:type="character" w:styleId="WW8Num29z0">
    <w:name w:val="WW8Num29z0"/>
    <w:qFormat/>
    <w:rPr>
      <w:rFonts w:ascii="Symbol" w:hAnsi="Symbol" w:cs="Symbol"/>
      <w:sz w:val="20"/>
    </w:rPr>
  </w:style>
  <w:style w:type="character" w:styleId="WW8Num30z0">
    <w:name w:val="WW8Num30z0"/>
    <w:qFormat/>
    <w:rPr>
      <w:rFonts w:ascii="Symbol" w:hAnsi="Symbol" w:eastAsia="Times New Roman" w:cs="Times New Roman"/>
      <w:i/>
      <w:color w:val="FF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sz w:val="20"/>
    </w:rPr>
  </w:style>
  <w:style w:type="character" w:styleId="WW8Num32z0">
    <w:name w:val="WW8Num32z0"/>
    <w:qFormat/>
    <w:rPr>
      <w:rFonts w:ascii="Symbol" w:hAnsi="Symbol" w:cs="Symbol"/>
      <w:color w:val="auto"/>
      <w:sz w:val="3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rPr>
  </w:style>
  <w:style w:type="character" w:styleId="Strong">
    <w:name w:val="Strong"/>
    <w:basedOn w:val="DefaultParagraphFont"/>
    <w:qFormat/>
    <w:rPr>
      <w:b/>
    </w:rPr>
  </w:style>
  <w:style w:type="character" w:styleId="emailstyle15">
    <w:name w:val="emailstyle15"/>
    <w:basedOn w:val="DefaultParagraphFont"/>
    <w:qFormat/>
    <w:rPr>
      <w:rFonts w:ascii="Arial" w:hAnsi="Arial" w:cs="Arial"/>
      <w:color w:val="000000"/>
      <w:sz w:val="20"/>
    </w:rPr>
  </w:style>
  <w:style w:type="paragraph" w:styleId="Heading">
    <w:name w:val="Heading"/>
    <w:basedOn w:val="Normal"/>
    <w:next w:val="BodyText"/>
    <w:qFormat/>
    <w:pPr>
      <w:jc w:val="center"/>
    </w:pPr>
    <w:rPr>
      <w:rFonts w:ascii="Garamond" w:hAnsi="Garamond" w:cs="Garamond"/>
      <w:b/>
      <w:sz w:val="36"/>
    </w:rPr>
  </w:style>
  <w:style w:type="paragraph" w:styleId="BodyText">
    <w:name w:val="Body Text"/>
    <w:basedOn w:val="Normal"/>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next w:val="Normal"/>
    <w:qFormat/>
    <w:pPr>
      <w:widowControl w:val="false"/>
    </w:pPr>
    <w:rPr>
      <w:rFonts w:ascii="Times New Roman" w:hAnsi="Times New Roman" w:cs="Times New Roma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rmalFontHelvetica11point">
    <w:name w:val="normal + Font: Helvetica 11point"/>
    <w:basedOn w:val="Normal"/>
    <w:qFormat/>
    <w:pPr/>
    <w:rPr>
      <w:rFonts w:ascii="New York;Times New Roman" w:hAnsi="New York;Times New Roman" w:cs="New York;Times New Roman"/>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Times New Roman" w:hAnsi="Times New Roman" w:cs="Times New Roman"/>
    </w:rPr>
  </w:style>
  <w:style w:type="paragraph" w:styleId="BodyTextIndent">
    <w:name w:val="Body Text Indent"/>
    <w:basedOn w:val="Normal"/>
    <w:pPr>
      <w:ind w:hanging="0" w:start="720" w:end="0"/>
      <w:jc w:val="both"/>
    </w:pPr>
    <w:rPr>
      <w:rFonts w:ascii="Arial" w:hAnsi="Arial" w:cs="Arial"/>
      <w:sz w:val="22"/>
    </w:rPr>
  </w:style>
  <w:style w:type="paragraph" w:styleId="BodyText3">
    <w:name w:val="Body Text 3"/>
    <w:basedOn w:val="Normal"/>
    <w:qFormat/>
    <w:pPr>
      <w:jc w:val="both"/>
    </w:pPr>
    <w:rPr>
      <w:rFonts w:ascii="Arial" w:hAnsi="Arial" w:cs="Arial"/>
      <w:sz w:val="22"/>
    </w:rPr>
  </w:style>
  <w:style w:type="paragraph" w:styleId="Blockquote">
    <w:name w:val="Blockquote"/>
    <w:basedOn w:val="Normal"/>
    <w:qFormat/>
    <w:pPr>
      <w:spacing w:before="100" w:after="100"/>
      <w:ind w:hanging="0" w:start="360" w:end="360"/>
    </w:pPr>
    <w:rPr>
      <w:rFonts w:ascii="Times New Roman" w:hAnsi="Times New Roman" w:cs="Times New Roman"/>
    </w:rPr>
  </w:style>
  <w:style w:type="paragraph" w:styleId="BlockText">
    <w:name w:val="Block Text"/>
    <w:basedOn w:val="Normal"/>
    <w:qFormat/>
    <w:pPr>
      <w:ind w:hanging="0" w:start="-270" w:end="-720"/>
      <w:jc w:val="both"/>
    </w:pPr>
    <w:rPr>
      <w:rFonts w:ascii="Franklin Gothic Medium" w:hAnsi="Franklin Gothic Medium" w:cs="Franklin Gothic Medium"/>
      <w:sz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PlainText">
    <w:name w:val="Plain Text"/>
    <w:basedOn w:val="Normal"/>
    <w:qFormat/>
    <w:pPr/>
    <w:rPr>
      <w:rFonts w:ascii="Courier New" w:hAnsi="Courier New" w:cs="Courier New"/>
      <w:sz w:val="20"/>
      <w:lang w:val="en-GB"/>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yperlink" Target="http://www.ustr.gov/speech-test/zoellick/rz_t2.pdf" TargetMode="External"/><Relationship Id="rId7" Type="http://schemas.openxmlformats.org/officeDocument/2006/relationships/hyperlink" Target="http://www.eurunion.org/news/speeches/2001/010308pl.htm" TargetMode="External"/><Relationship Id="rId8" Type="http://schemas.openxmlformats.org/officeDocument/2006/relationships/hyperlink" Target="http://www.house.gov/commerce/hearings/03082001-49/08082001.htm" TargetMode="External"/><Relationship Id="rId9" Type="http://schemas.openxmlformats.org/officeDocument/2006/relationships/hyperlink" Target="http://www.eabc.org/abstracts/Abstracts/attachments/Caborn30701.htm" TargetMode="External"/><Relationship Id="rId10" Type="http://schemas.openxmlformats.org/officeDocument/2006/relationships/hyperlink" Target="http://www.state.gov/r/pa/prs/ps/index.cfm?docid=1150" TargetMode="External"/><Relationship Id="rId11" Type="http://schemas.openxmlformats.org/officeDocument/2006/relationships/hyperlink" Target="http://www.whitehouse.gov/news/releases/2001/03/20010306-9.htm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2001-03-12T10:33:00Z</dcterms:created>
  <dc:creator>EW/LN/CB</dc:creator>
  <dc:description/>
  <cp:keywords>Ethan</cp:keywords>
  <dc:language>en-CA</dc:language>
  <cp:lastModifiedBy>CHowlett</cp:lastModifiedBy>
  <cp:lastPrinted>2001-03-09T18:08:00Z</cp:lastPrinted>
  <dcterms:modified xsi:type="dcterms:W3CDTF">2001-03-12T10:33:00Z</dcterms:modified>
  <cp:revision>2</cp:revision>
  <dc:subject/>
  <dc:title>Ethan Frome</dc:title>
</cp:coreProperties>
</file>