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tab/>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Caroline Abramo</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Frank Sayre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Cargill Power of Attorney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I have reviewed the latest draft of the Power of Attorney from Cargill, Incorporated authorizing Global Advisors Limited to trade on Cargill’s behalf and still do not like the document.</w:t>
      </w:r>
    </w:p>
    <w:p>
      <w:pPr>
        <w:pStyle w:val="Body"/>
        <w:rPr/>
      </w:pPr>
      <w:r>
        <w:rPr/>
      </w:r>
    </w:p>
    <w:p>
      <w:pPr>
        <w:pStyle w:val="Body"/>
        <w:rPr/>
      </w:pPr>
      <w:r>
        <w:rPr/>
        <w:t xml:space="preserve">The Power of Attorney is simply too complex.  All we want to see is a simple Power of Attorney issued by Cargill authroizing Global to trade on Cargill’s behalf under the terms and conditions of the ISDA Master Agreement between Cargill and ENA effective April 16, 1999 (the “Master Agreement”).  ENA should not be a party to the Power of Attorney and should have no obligations under the Power of Attorney.  ENA’s obligations towards Cargill and Global, as Cargill’s Agent, should only arise under the terms and conditions of the Master Agreement. </w:t>
      </w:r>
    </w:p>
    <w:p>
      <w:pPr>
        <w:pStyle w:val="Body"/>
        <w:ind w:start="717" w:end="0"/>
        <w:rPr/>
      </w:pPr>
      <w:r>
        <w:rPr/>
      </w:r>
    </w:p>
    <w:p>
      <w:pPr>
        <w:pStyle w:val="Body"/>
        <w:rPr/>
      </w:pPr>
      <w:r>
        <w:rPr/>
        <w:t xml:space="preserve">Therefore, if Global were to enter into a trade with ENA that was over its trading limit, that should simply be a matter for Cargill and Global to resolve between themselves.  Likewise, any trade undertaken by Global on Cargill’s behalf would result in a confirmation of the trade being sent to Cargill under the terms and conditions of the ISDA Master (and not the Power of Attorney). </w:t>
      </w:r>
    </w:p>
    <w:p>
      <w:pPr>
        <w:pStyle w:val="Body"/>
        <w:rPr/>
      </w:pPr>
      <w:r>
        <w:rPr/>
      </w:r>
    </w:p>
    <w:p>
      <w:pPr>
        <w:pStyle w:val="Body"/>
        <w:rPr/>
      </w:pPr>
      <w:r>
        <w:rPr/>
        <w:t>I simply do not recommend making our relationship with Cargill any more complex and suggest strongly that the Global/Cargill relationship be left to be resolved between them, with ENA staying out of the middle of that relationship.  ENA can only weaken its position vis-à-vis Cargill by agreeing to the terms and conditions of the draft Power of Attorney.</w:t>
      </w:r>
    </w:p>
    <w:p>
      <w:pPr>
        <w:pStyle w:val="Body"/>
        <w:rPr/>
      </w:pPr>
      <w:r>
        <w:rPr/>
      </w:r>
    </w:p>
    <w:p>
      <w:pPr>
        <w:pStyle w:val="Body"/>
        <w:rPr/>
      </w:pPr>
      <w:r>
        <w:rPr/>
        <w:t>If you have any questions, please do not hesitate to contact me at (713) 345-7894.</w:t>
      </w:r>
    </w:p>
    <w:p>
      <w:pPr>
        <w:pStyle w:val="Body"/>
        <w:rPr/>
      </w:pPr>
      <w:r>
        <w:rPr/>
      </w:r>
    </w:p>
    <w:p>
      <w:pPr>
        <w:pStyle w:val="CopyList"/>
        <w:rPr/>
      </w:pPr>
      <w:r>
        <w:rPr/>
        <w:t>CC:  Mark Taylor, Sara Shakelton</w:t>
      </w:r>
    </w:p>
    <w:sectPr>
      <w:headerReference w:type="default" r:id="rId2"/>
      <w:headerReference w:type="first" r:id="rId3"/>
      <w:footerReference w:type="default" r:id="rId4"/>
      <w:footerReference w:type="first" r:id="rId5"/>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2">
              <wp:simplePos x="0" y="0"/>
              <wp:positionH relativeFrom="page">
                <wp:posOffset>2523490</wp:posOffset>
              </wp:positionH>
              <wp:positionV relativeFrom="paragraph">
                <wp:posOffset>635</wp:posOffset>
              </wp:positionV>
              <wp:extent cx="3877310" cy="658495"/>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2001-04-03T15:53:00Z</dcterms:created>
  <dc:creator>fsayre</dc:creator>
  <dc:description/>
  <dc:language>en-CA</dc:language>
  <cp:lastModifiedBy>fsayre</cp:lastModifiedBy>
  <cp:lastPrinted>2001-04-03T13:56:00Z</cp:lastPrinted>
  <dcterms:modified xsi:type="dcterms:W3CDTF">2001-04-03T16:44:00Z</dcterms:modified>
  <cp:revision>4</cp:revision>
  <dc:subject/>
  <dc:title>Better, Faster, Simpler Memo </dc:title>
</cp:coreProperties>
</file>