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lang w:val="en-CA"/>
        </w:rPr>
      </w:pPr>
      <w:r>
        <w:rPr>
          <w:sz w:val="24"/>
          <w:lang w:val="en-CA"/>
        </w:rPr>
        <mc:AlternateContent>
          <mc:Choice Requires="wps">
            <w:drawing>
              <wp:anchor behindDoc="0" distT="0" distB="0" distL="114935" distR="114935" simplePos="0" locked="0" layoutInCell="0" allowOverlap="1" relativeHeight="2">
                <wp:simplePos x="0" y="0"/>
                <wp:positionH relativeFrom="page">
                  <wp:posOffset>99695</wp:posOffset>
                </wp:positionH>
                <wp:positionV relativeFrom="page">
                  <wp:posOffset>8956040</wp:posOffset>
                </wp:positionV>
                <wp:extent cx="953135" cy="216535"/>
                <wp:effectExtent l="0" t="0" r="0" b="0"/>
                <wp:wrapNone/>
                <wp:docPr id="1" name=""/>
                <a:graphic xmlns:a="http://schemas.openxmlformats.org/drawingml/2006/main">
                  <a:graphicData uri="http://schemas.microsoft.com/office/word/2010/wordprocessingShape">
                    <wps:wsp>
                      <wps:cNvSpPr txBox="1"/>
                      <wps:spPr>
                        <a:xfrm rot="16200000">
                          <a:off x="0" y="0"/>
                          <a:ext cx="953280" cy="216360"/>
                        </a:xfrm>
                        <a:prstGeom prst="rect">
                          <a:avLst/>
                        </a:prstGeom>
                        <a:noFill/>
                        <a:ln w="0">
                          <a:noFill/>
                        </a:ln>
                      </wps:spPr>
                      <wps:txbx>
                        <w:txbxContent>
                          <w:p>
                            <w:pPr>
                              <w:overflowPunct w:val="false"/>
                              <w:bidi w:val="0"/>
                              <w:rPr/>
                            </w:pPr>
                            <w:r>
                              <w:rPr>
                                <w:kern w:val="2"/>
                                <w:sz w:val="14"/>
                                <w:szCs w:val="20"/>
                                <w:rFonts w:ascii="Arial" w:hAnsi="Arial" w:eastAsia="Times New Roman" w:cs="Arial"/>
                                <w:color w:val="auto"/>
                                <w:lang w:val="en-GB"/>
                              </w:rPr>
                              <w:t xml:space="preserve">24419 v2 </w:t>
                            </w:r>
                          </w:p>
                        </w:txbxContent>
                      </wps:txbx>
                      <wps:bodyPr wrap="square" lIns="36360" rIns="0" tIns="36360" bIns="3636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85pt;margin-top:705.2pt;width:75pt;height:17pt;mso-wrap-style:square;v-text-anchor:top;rotation:270;mso-position-horizontal-relative:page;mso-position-vertical-relative:page" type="_x0000_t202">
                <v:textbox style="mso-layout-flow-alt:bottom-to-top">
                  <w:txbxContent>
                    <w:p>
                      <w:pPr>
                        <w:overflowPunct w:val="false"/>
                        <w:bidi w:val="0"/>
                        <w:rPr/>
                      </w:pPr>
                      <w:r>
                        <w:rPr>
                          <w:kern w:val="2"/>
                          <w:sz w:val="14"/>
                          <w:szCs w:val="20"/>
                          <w:rFonts w:ascii="Arial" w:hAnsi="Arial" w:eastAsia="Times New Roman" w:cs="Arial"/>
                          <w:color w:val="auto"/>
                          <w:lang w:val="en-GB"/>
                        </w:rPr>
                        <w:t xml:space="preserve">24419 v2 </w:t>
                      </w:r>
                    </w:p>
                  </w:txbxContent>
                </v:textbox>
                <v:fill o:detectmouseclick="t" on="false"/>
                <v:stroke color="#3465a4" joinstyle="round" endcap="flat"/>
                <w10:wrap type="none"/>
              </v:shape>
            </w:pict>
          </mc:Fallback>
        </mc:AlternateContent>
      </w:r>
    </w:p>
    <w:tbl>
      <w:tblPr>
        <w:tblW w:w="9639" w:type="dxa"/>
        <w:jc w:val="start"/>
        <w:tblInd w:w="-459" w:type="dxa"/>
        <w:tblLayout w:type="fixed"/>
        <w:tblCellMar>
          <w:top w:w="0" w:type="dxa"/>
          <w:start w:w="108" w:type="dxa"/>
          <w:bottom w:w="0" w:type="dxa"/>
          <w:end w:w="108" w:type="dxa"/>
        </w:tblCellMar>
      </w:tblPr>
      <w:tblGrid>
        <w:gridCol w:w="534"/>
        <w:gridCol w:w="4569"/>
        <w:gridCol w:w="4536"/>
      </w:tblGrid>
      <w:tr>
        <w:trPr/>
        <w:tc>
          <w:tcPr>
            <w:tcW w:w="5103" w:type="dxa"/>
            <w:gridSpan w:val="2"/>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b/>
              </w:rPr>
            </w:pPr>
            <w:r>
              <w:rPr>
                <w:b/>
              </w:rPr>
            </w:r>
          </w:p>
          <w:p>
            <w:pPr>
              <w:pStyle w:val="Heading2"/>
              <w:ind w:hanging="0" w:start="0"/>
              <w:rPr>
                <w:b/>
              </w:rPr>
            </w:pPr>
            <w:r>
              <w:rPr>
                <w:b/>
              </w:rPr>
              <w:t>QUESTION</w:t>
            </w:r>
          </w:p>
          <w:p>
            <w:pPr>
              <w:pStyle w:val="Normal"/>
              <w:rPr>
                <w:b/>
                <w:sz w:val="24"/>
              </w:rPr>
            </w:pPr>
            <w:r>
              <w:rPr>
                <w:b/>
                <w:sz w:val="24"/>
              </w:rPr>
            </w:r>
          </w:p>
        </w:tc>
        <w:tc>
          <w:tcPr>
            <w:tcW w:w="453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ANSWER</w:t>
            </w:r>
          </w:p>
          <w:p>
            <w:pPr>
              <w:pStyle w:val="Normal"/>
              <w:jc w:val="center"/>
              <w:rPr>
                <w:b/>
                <w:sz w:val="24"/>
              </w:rPr>
            </w:pPr>
            <w:r>
              <w:rPr>
                <w:b/>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Do the Rules provide for pre-arbitration procedures (such as mediation) to resolve the dispute?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but the arbitration institute of the Stockholm Chamber of Commerce (the “Institute”) has adopted particular rules for mediation.</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Is an arbitrator required to be independent and impartial?</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 arbitrator shall disclose any circum</w:t>
              <w:softHyphen/>
              <w:t>stances, which might lead one to question his impartiality or independence. Any party wishing to challenge an arbitrator must do so in writing and state the reason therefore. Decision regarding challenges are rendered by the Institute. A party who fails to challenge an arbitrator is deemed to have waived his right to make such challenge.</w:t>
            </w:r>
          </w:p>
          <w:p>
            <w:pPr>
              <w:pStyle w:val="Normal"/>
              <w:rPr>
                <w:sz w:val="24"/>
              </w:rPr>
            </w:pPr>
            <w:r>
              <w:rPr>
                <w:sz w:val="24"/>
              </w:rPr>
            </w:r>
          </w:p>
        </w:tc>
      </w:tr>
      <w:tr>
        <w:trPr>
          <w:trHeight w:val="877" w:hRule="atLeast"/>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p>
        </w:tc>
        <w:tc>
          <w:tcPr>
            <w:tcW w:w="4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09" w:leader="none"/>
              </w:tabs>
              <w:rPr>
                <w:sz w:val="24"/>
              </w:rPr>
            </w:pPr>
            <w:r>
              <w:rPr>
                <w:sz w:val="24"/>
              </w:rPr>
              <w:t>Is the arbitration governed by the rules in force at the time the arbitration agreement was entered or by the rules in force when arbitration is initiated?</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The rules applicable are those in force at the time the arbitration agreement was entered into.</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Absent an express agreement by the parties, how many arbitrators will be selected?</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 absence of any direction from the parties the tribunal will consist of three arbitrators.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Must arbitrators be chosen from a country other than those of which the parties are nationals?  </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w:t>
            </w:r>
          </w:p>
          <w:p>
            <w:pPr>
              <w:pStyle w:val="Normal"/>
              <w:rPr>
                <w:sz w:val="24"/>
              </w:rPr>
            </w:pPr>
            <w:r>
              <w:rPr>
                <w:sz w:val="24"/>
              </w:rPr>
            </w:r>
          </w:p>
          <w:p>
            <w:pPr>
              <w:pStyle w:val="Normal"/>
              <w:rPr>
                <w:sz w:val="24"/>
              </w:rPr>
            </w:pPr>
            <w:r>
              <w:rPr>
                <w:sz w:val="24"/>
              </w:rPr>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tc>
        <w:tc>
          <w:tcPr>
            <w:tcW w:w="45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09" w:leader="none"/>
              </w:tabs>
              <w:rPr>
                <w:sz w:val="24"/>
              </w:rPr>
            </w:pPr>
            <w:r>
              <w:rPr>
                <w:sz w:val="24"/>
              </w:rPr>
              <w:t>a. Must the arbitrator(s) posses any specific qualifications?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but the Institute may decide to discharge an arbitrator for any lawful excuse or for failure to perform his duties in an adequate manner.</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How is an arbitrator selected if the parties are unable to agree?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Each party appoints an equal number of arbitrators and the Institute one arbitrator, who shall be chairman of the tribunal.</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Absent an agreement by the parties, how is the place of arbitration determined?</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The Institute determines the place of arbitration unless the parties have already done so.</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Are jurisdictional challenges determined at the outset or at the end of the merits?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At the outset of the merits.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9.</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May the arbitration proceed if a party fails to take part?</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If one of the parties, without showing valid cause, fails to submit a written statement, appear at a hearing or otherwise to comply with an order of the arbitrators, such failure does not prevent the arbitrators from proceeding with the case or from rendering an award.</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Must parties be treated with equality and be given a full opportunity of presenting their case?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The arbitrators shall handle the case in an impartial, practical and speedy manner. Each party shall be given a sufficient opportunity to present his case.</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11.</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May the arbitrator(s) order production of documents prior to the hearing?</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Yes. However, such an order will only be obligatory on the parties.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12.</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May the parties conduct oral discoveries?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Swedish law does not have the concept of discovery. However, should a party wish his opponent to disclose any relevant document such request would normally be met on a voluntary basis. The relevant district court can upon petition issue an order to disclose documents.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13.</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May the arbitrator(s) make interim orders?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Arbitrators may not make provisional interim awards, in which for example the claimant is awarded a sum at an early stage of the proceedings on account of the damages he may eventually be found entitled to recover. The arbitrators are however entitled to make separate awards in certain circumstances. Although the dividing lines are not entirely clear, separate awards are generally classified as partial, interlocutory or interim awards.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 May assistance be sought from the Courts for interim measures?</w:t>
            </w:r>
          </w:p>
        </w:tc>
        <w:tc>
          <w:tcPr>
            <w:tcW w:w="4536" w:type="dxa"/>
            <w:tcBorders>
              <w:top w:val="single" w:sz="4" w:space="0" w:color="000000"/>
              <w:start w:val="single" w:sz="4" w:space="0" w:color="000000"/>
              <w:bottom w:val="single" w:sz="4" w:space="0" w:color="000000"/>
              <w:end w:val="single" w:sz="4" w:space="0" w:color="000000"/>
            </w:tcBorders>
          </w:tcPr>
          <w:p>
            <w:pPr>
              <w:pStyle w:val="Normal"/>
              <w:rPr/>
            </w:pPr>
            <w:r>
              <w:rPr>
                <w:sz w:val="24"/>
              </w:rPr>
              <w:t xml:space="preserve">Interim security measures, </w:t>
            </w:r>
            <w:r>
              <w:rPr>
                <w:i/>
                <w:sz w:val="24"/>
              </w:rPr>
              <w:t>inter alia,</w:t>
            </w:r>
            <w:r>
              <w:rPr>
                <w:sz w:val="24"/>
              </w:rPr>
              <w:t xml:space="preserve"> attachments and injunctions, can be granted by the competent district court as determined in accordance with the general rules on jurisdiction of the courts.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14.</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Must there be an oral hearing?</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 oral hearing shall, as a rule, be conducted.</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15.</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Any explicit right to cross-examine witnesses?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Witness will attend, generally on voluntary basis, and be heard and cross-examined, though not under oath if the examination takes place before the arbitrators.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16.</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May the arbitrator(s) appoint experts and if so, may the parties:</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Unless the parties decide otherwise the arbitrators may appoint an expert to give his opinion on a particular matter.</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  question the expert; and</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Yes.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  present their own expert evidence?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Yes. The arbitrators may refuse to accept evidence offered to them if they consider that such evidence is not required, or is irrelevant, or that proof can be established by other means in a considerable simpler manner, or at considerably lesser expense.</w:t>
            </w:r>
          </w:p>
        </w:tc>
      </w:tr>
    </w:tbl>
    <w:p>
      <w:pPr>
        <w:pStyle w:val="Normal"/>
        <w:rPr/>
      </w:pPr>
      <w:r>
        <w:rPr/>
      </w:r>
    </w:p>
    <w:tbl>
      <w:tblPr>
        <w:tblW w:w="9639" w:type="dxa"/>
        <w:jc w:val="start"/>
        <w:tblInd w:w="-459" w:type="dxa"/>
        <w:tblLayout w:type="fixed"/>
        <w:tblCellMar>
          <w:top w:w="0" w:type="dxa"/>
          <w:start w:w="108" w:type="dxa"/>
          <w:bottom w:w="0" w:type="dxa"/>
          <w:end w:w="108" w:type="dxa"/>
        </w:tblCellMar>
      </w:tblPr>
      <w:tblGrid>
        <w:gridCol w:w="534"/>
        <w:gridCol w:w="4569"/>
        <w:gridCol w:w="4536"/>
      </w:tblGrid>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17.</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May the arbitrator(s) deviate from local law procedures in presenting evidence?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Yes, the arbitrators have great freedom of action unless the parties have decided otherwise.</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18.</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May the arbitrator(s) order witness to appear?</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The arbitrators cannot compel a person to appear for examination or to answer specific questions. The relevant district court can upon a petition request a witness to appear in court under oath. </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19.</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Must the arbitrator(s) take into account usages of trade?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This depends on what the applicable law dictates. It is not completely clear under Swedish whether usages of trade shall be taken into account by the arbitrators.</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20.</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Must the arbitrator(s) give reasons for the award?</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The award shall contain both the ultimate judgement order and reasons therefor.</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21.</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Is a majority decision required, or may the chair decide, in the absence of authority?</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When a vote is taken that opinion shall prevail which has received more than any other opinion. In case of equality of votes the opinion supported by the chairman shall prevail.</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22.</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Is recourse to the courts against the award prohibited?</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but severely restricted. A party who wishes to challenge an award must bring an action in the proper court alleging a ground of challenge within sixty days from the time he received the award. If the challenge is successful the court will set the award aside.</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23.</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Which conflict of laws rules, if any, apply if the parties fail to specify the law applicable to the substance of the dispute?</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The Institute recommends the application of Swedish conflict rules when the contract is silent as to governing law. </w:t>
            </w:r>
          </w:p>
          <w:p>
            <w:pPr>
              <w:pStyle w:val="Normal"/>
              <w:rPr>
                <w:sz w:val="24"/>
              </w:rPr>
            </w:pPr>
            <w:r>
              <w:rPr>
                <w:sz w:val="24"/>
              </w:rPr>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24.</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Is recourse to the courts possible based on:</w:t>
            </w:r>
          </w:p>
          <w:p>
            <w:pPr>
              <w:pStyle w:val="Normal"/>
              <w:rPr>
                <w:sz w:val="24"/>
              </w:rPr>
            </w:pPr>
            <w:r>
              <w:rPr>
                <w:sz w:val="24"/>
              </w:rPr>
              <w:t>a.  breaches of natural justice</w:t>
            </w:r>
          </w:p>
          <w:p>
            <w:pPr>
              <w:pStyle w:val="Normal"/>
              <w:rPr>
                <w:sz w:val="24"/>
              </w:rPr>
            </w:pPr>
            <w:r>
              <w:rPr>
                <w:sz w:val="24"/>
              </w:rPr>
              <w:t>b.  bias of arbitrator</w:t>
            </w:r>
          </w:p>
          <w:p>
            <w:pPr>
              <w:pStyle w:val="Normal"/>
              <w:numPr>
                <w:ilvl w:val="0"/>
                <w:numId w:val="3"/>
              </w:numPr>
              <w:rPr>
                <w:sz w:val="24"/>
              </w:rPr>
            </w:pPr>
            <w:r>
              <w:rPr>
                <w:sz w:val="24"/>
              </w:rPr>
              <w:t>errors of law</w:t>
            </w:r>
          </w:p>
          <w:p>
            <w:pPr>
              <w:pStyle w:val="Normal"/>
              <w:numPr>
                <w:ilvl w:val="0"/>
                <w:numId w:val="3"/>
              </w:numPr>
              <w:rPr>
                <w:sz w:val="24"/>
              </w:rPr>
            </w:pPr>
            <w:r>
              <w:rPr>
                <w:sz w:val="24"/>
              </w:rPr>
              <w:t>others ?</w:t>
            </w:r>
          </w:p>
        </w:tc>
        <w:tc>
          <w:tcPr>
            <w:tcW w:w="4536"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sz w:val="24"/>
              </w:rPr>
            </w:pPr>
            <w:r>
              <w:rPr>
                <w:sz w:val="24"/>
              </w:rPr>
              <w:t>Yes, if the arbitrators have gone beyond the matters submitted to them.</w:t>
            </w:r>
          </w:p>
          <w:p>
            <w:pPr>
              <w:pStyle w:val="Normal"/>
              <w:numPr>
                <w:ilvl w:val="0"/>
                <w:numId w:val="2"/>
              </w:numPr>
              <w:rPr>
                <w:sz w:val="24"/>
              </w:rPr>
            </w:pPr>
            <w:r>
              <w:rPr>
                <w:sz w:val="24"/>
              </w:rPr>
              <w:t>Yes</w:t>
            </w:r>
          </w:p>
          <w:p>
            <w:pPr>
              <w:pStyle w:val="Normal"/>
              <w:numPr>
                <w:ilvl w:val="0"/>
                <w:numId w:val="2"/>
              </w:numPr>
              <w:rPr>
                <w:sz w:val="24"/>
              </w:rPr>
            </w:pPr>
            <w:r>
              <w:rPr>
                <w:sz w:val="24"/>
              </w:rPr>
              <w:t>No</w:t>
            </w:r>
          </w:p>
          <w:p>
            <w:pPr>
              <w:pStyle w:val="Normal"/>
              <w:rPr>
                <w:sz w:val="24"/>
              </w:rPr>
            </w:pPr>
            <w:r>
              <w:rPr>
                <w:sz w:val="24"/>
              </w:rPr>
              <w:t>If the award was made after the expiration of the award period, if the arbitration proceedings should not be conducted in Sweden or other irregu</w:t>
              <w:softHyphen/>
              <w:t>larities of procedure. A party may lose his right to challenge an award by waiving the irregularity, expressly or by implication.</w:t>
            </w:r>
          </w:p>
        </w:tc>
      </w:tr>
      <w:tr>
        <w:trPr/>
        <w:tc>
          <w:tcPr>
            <w:tcW w:w="5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w:t>
            </w:r>
          </w:p>
        </w:tc>
        <w:tc>
          <w:tcPr>
            <w:tcW w:w="4569"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May different arbitrations be consolidated?</w:t>
            </w:r>
          </w:p>
        </w:tc>
        <w:tc>
          <w:tcPr>
            <w:tcW w:w="453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Yes if the parties so agree.</w:t>
            </w:r>
          </w:p>
          <w:p>
            <w:pPr>
              <w:pStyle w:val="Normal"/>
              <w:rPr>
                <w:sz w:val="24"/>
              </w:rPr>
            </w:pPr>
            <w:r>
              <w:rPr>
                <w:sz w:val="24"/>
              </w:rPr>
            </w:r>
          </w:p>
        </w:tc>
      </w:tr>
    </w:tbl>
    <w:p>
      <w:pPr>
        <w:pStyle w:val="Normal"/>
        <w:rPr>
          <w:sz w:val="24"/>
        </w:rPr>
      </w:pPr>
      <w:r>
        <w:rPr>
          <w:sz w:val="24"/>
        </w:rPr>
      </w:r>
    </w:p>
    <w:sectPr>
      <w:footerReference w:type="default" r:id="rId2"/>
      <w:footerReference w:type="first" r:id="rId3"/>
      <w:type w:val="nextPage"/>
      <w:pgSz w:w="11906" w:h="16838"/>
      <w:pgMar w:left="1797" w:right="1797" w:gutter="0" w:header="0" w:top="851" w:footer="720" w:bottom="12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lineRule="exact" w:line="120"/>
      <w:ind w:start="-680" w:end="-680"/>
      <w:rPr>
        <w:rFonts w:ascii="Arial" w:hAnsi="Arial" w:cs="Arial"/>
        <w:sz w:val="14"/>
      </w:rPr>
    </w:pPr>
    <w:r>
      <w:rPr>
        <w:rFonts w:cs="Arial" w:ascii="Arial" w:hAnsi="Arial"/>
        <w:sz w:val="14"/>
      </w:rPr>
      <w:t xml:space="preserve">24419 v2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3"/>
      <w:numFmt w:val="low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style>
  <w:style w:type="character" w:styleId="WW8Num2z0">
    <w:name w:val="WW8Num2z0"/>
    <w:qFormat/>
    <w:rPr/>
  </w:style>
  <w:style w:type="character" w:styleId="Standardstycketeckensnitt">
    <w:name w:val="Standardstycketeckensnit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1998-08-28T12:11:00Z</dcterms:created>
  <dc:creator>slindgre</dc:creator>
  <dc:description/>
  <dc:language>en-CA</dc:language>
  <cp:lastModifiedBy>Fredrik Wilkens</cp:lastModifiedBy>
  <cp:lastPrinted>1998-08-28T15:49:00Z</cp:lastPrinted>
  <dcterms:modified xsi:type="dcterms:W3CDTF">1998-08-28T12:11:00Z</dcterms:modified>
  <cp:revision>2</cp:revision>
  <dc:subject/>
  <dc:title>QUESTION</dc:title>
</cp:coreProperties>
</file>