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400" w:leader="none"/>
          <w:tab w:val="right" w:pos="10800" w:leader="none"/>
        </w:tabs>
        <w:rPr>
          <w:sz w:val="16"/>
        </w:rPr>
      </w:pPr>
      <w:r>
        <w:rPr>
          <w:sz w:val="16"/>
        </w:rPr>
      </w:r>
    </w:p>
    <w:p>
      <w:pPr>
        <w:pStyle w:val="Normal"/>
        <w:tabs>
          <w:tab w:val="clear" w:pos="720"/>
          <w:tab w:val="center" w:pos="5400" w:leader="none"/>
          <w:tab w:val="right" w:pos="10800" w:leader="none"/>
        </w:tabs>
        <w:rPr/>
      </w:pPr>
      <w:r>
        <w:rPr/>
        <w:tab/>
      </w:r>
      <w:r>
        <w:rPr>
          <w:b/>
        </w:rPr>
        <w:t>TRANSACTION CONFIRMATION</w:t>
        <w:tab/>
        <w:tab/>
        <w:t>FOR IMMEDIATE DELIVERY</w:t>
      </w:r>
    </w:p>
    <w:tbl>
      <w:tblPr>
        <w:tblW w:w="10998" w:type="dxa"/>
        <w:jc w:val="start"/>
        <w:tblInd w:w="0" w:type="dxa"/>
        <w:tblLayout w:type="fixed"/>
        <w:tblCellMar>
          <w:top w:w="0" w:type="dxa"/>
          <w:start w:w="108" w:type="dxa"/>
          <w:bottom w:w="0" w:type="dxa"/>
          <w:end w:w="108" w:type="dxa"/>
        </w:tblCellMar>
      </w:tblPr>
      <w:tblGrid>
        <w:gridCol w:w="4518"/>
        <w:gridCol w:w="1800"/>
        <w:gridCol w:w="4680"/>
      </w:tblGrid>
      <w:tr>
        <w:trPr>
          <w:trHeight w:val="1227" w:hRule="atLeast"/>
        </w:trPr>
        <w:tc>
          <w:tcPr>
            <w:tcW w:w="4518" w:type="dxa"/>
            <w:tcBorders>
              <w:top w:val="single" w:sz="6" w:space="0" w:color="000000"/>
              <w:start w:val="single" w:sz="6" w:space="0" w:color="000000"/>
              <w:bottom w:val="single" w:sz="6" w:space="0" w:color="000000"/>
              <w:end w:val="single" w:sz="6" w:space="0" w:color="000000"/>
            </w:tcBorders>
          </w:tcPr>
          <w:p>
            <w:pPr>
              <w:pStyle w:val="Normal"/>
              <w:spacing w:before="480" w:after="480"/>
              <w:jc w:val="center"/>
              <w:rPr>
                <w:b/>
              </w:rPr>
            </w:pPr>
            <w:r>
              <w:rPr>
                <w:b/>
              </w:rPr>
              <w:t>Letterhead/Logo</w:t>
            </w:r>
          </w:p>
        </w:tc>
        <w:tc>
          <w:tcPr>
            <w:tcW w:w="1800" w:type="dxa"/>
            <w:tcBorders/>
          </w:tcPr>
          <w:p>
            <w:pPr>
              <w:pStyle w:val="Normal"/>
              <w:snapToGrid w:val="false"/>
              <w:spacing w:before="480" w:after="480"/>
              <w:jc w:val="center"/>
              <w:rPr/>
            </w:pPr>
            <w:r>
              <w:rPr/>
            </w:r>
          </w:p>
        </w:tc>
        <w:tc>
          <w:tcPr>
            <w:tcW w:w="4680" w:type="dxa"/>
            <w:tcBorders>
              <w:top w:val="single" w:sz="6" w:space="0" w:color="000000"/>
              <w:start w:val="single" w:sz="6" w:space="0" w:color="000000"/>
              <w:bottom w:val="single" w:sz="6" w:space="0" w:color="000000"/>
              <w:end w:val="single" w:sz="6" w:space="0" w:color="000000"/>
            </w:tcBorders>
          </w:tcPr>
          <w:p>
            <w:pPr>
              <w:pStyle w:val="Normal"/>
              <w:tabs>
                <w:tab w:val="clear" w:pos="720"/>
                <w:tab w:val="right" w:pos="4302" w:leader="none"/>
              </w:tabs>
              <w:spacing w:before="480" w:after="480"/>
              <w:rPr/>
            </w:pPr>
            <w:r>
              <w:rPr>
                <w:b/>
              </w:rPr>
              <w:t xml:space="preserve">Date: </w:t>
            </w:r>
            <w:r>
              <w:rPr>
                <w:b/>
                <w:u w:val="single"/>
              </w:rPr>
              <w:t>August 29, 2000_________________</w:t>
            </w:r>
            <w:r>
              <w:rPr>
                <w:b/>
              </w:rPr>
              <w:br/>
              <w:t xml:space="preserve">Transaction Confirmation #: </w:t>
            </w:r>
            <w:r>
              <w:rPr>
                <w:b/>
                <w:u w:val="single"/>
              </w:rPr>
              <w:t>1</w:t>
              <w:tab/>
            </w:r>
          </w:p>
        </w:tc>
      </w:tr>
    </w:tbl>
    <w:p>
      <w:pPr>
        <w:pStyle w:val="Normal"/>
        <w:tabs>
          <w:tab w:val="clear" w:pos="720"/>
          <w:tab w:val="center" w:pos="4680" w:leader="none"/>
          <w:tab w:val="right" w:pos="9360" w:leader="none"/>
        </w:tabs>
        <w:rPr/>
      </w:pPr>
      <w:r>
        <w:rPr/>
      </w:r>
    </w:p>
    <w:tbl>
      <w:tblPr>
        <w:tblW w:w="10998" w:type="dxa"/>
        <w:jc w:val="start"/>
        <w:tblInd w:w="0" w:type="dxa"/>
        <w:tblLayout w:type="fixed"/>
        <w:tblCellMar>
          <w:top w:w="0" w:type="dxa"/>
          <w:start w:w="108" w:type="dxa"/>
          <w:bottom w:w="0" w:type="dxa"/>
          <w:end w:w="108" w:type="dxa"/>
        </w:tblCellMar>
      </w:tblPr>
      <w:tblGrid>
        <w:gridCol w:w="5418"/>
        <w:gridCol w:w="5580"/>
      </w:tblGrid>
      <w:tr>
        <w:trPr/>
        <w:tc>
          <w:tcPr>
            <w:tcW w:w="10998" w:type="dxa"/>
            <w:gridSpan w:val="2"/>
            <w:tcBorders>
              <w:top w:val="doub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t>This Transaction Confirmation is subject to the Base Contract between Seller and Buyer dated January 26, 2000.  The terms of this Transaction Confirmation are binding unless disputed in writing within 2 Business Days of receipt unless otherwise specified in the Base Contract.</w:t>
            </w:r>
          </w:p>
        </w:tc>
      </w:tr>
      <w:tr>
        <w:trPr/>
        <w:tc>
          <w:tcPr>
            <w:tcW w:w="5418" w:type="dxa"/>
            <w:tcBorders>
              <w:top w:val="single" w:sz="6" w:space="0" w:color="000000"/>
              <w:start w:val="double" w:sz="6" w:space="0" w:color="000000"/>
              <w:bottom w:val="single" w:sz="6" w:space="0" w:color="000000"/>
              <w:end w:val="single" w:sz="6" w:space="0" w:color="000000"/>
            </w:tcBorders>
          </w:tcPr>
          <w:p>
            <w:pPr>
              <w:pStyle w:val="Normal"/>
              <w:tabs>
                <w:tab w:val="clear" w:pos="720"/>
                <w:tab w:val="right" w:pos="5040" w:leader="none"/>
              </w:tabs>
              <w:spacing w:before="60" w:after="60"/>
              <w:rPr/>
            </w:pPr>
            <w:r>
              <w:rPr>
                <w:b/>
              </w:rPr>
              <w:t>SELLER:</w:t>
              <w:br/>
            </w:r>
            <w:r>
              <w:rPr>
                <w:b/>
                <w:u w:val="single"/>
              </w:rPr>
              <w:t>ENRON NORTH AMERICA CORP.</w:t>
            </w:r>
            <w:r>
              <w:rPr/>
              <w:t>__________</w:t>
              <w:br/>
            </w:r>
            <w:r>
              <w:rPr>
                <w:u w:val="single"/>
              </w:rPr>
              <w:t>Attn:  Documentation and Deal Clearing</w:t>
              <w:tab/>
            </w:r>
            <w:r>
              <w:rPr/>
              <w:br/>
            </w:r>
            <w:r>
              <w:rPr>
                <w:u w:val="single"/>
              </w:rPr>
              <w:t>Phone: (713) 646-4816</w:t>
              <w:tab/>
            </w:r>
            <w:r>
              <w:rPr/>
              <w:br/>
            </w:r>
            <w:r>
              <w:rPr>
                <w:u w:val="single"/>
              </w:rPr>
              <w:t xml:space="preserve">Fax: </w:t>
              <w:tab/>
            </w:r>
            <w:r>
              <w:rPr/>
              <w:br/>
            </w:r>
            <w:r>
              <w:rPr>
                <w:u w:val="single"/>
              </w:rPr>
              <w:t xml:space="preserve">Base Contract No. </w:t>
              <w:tab/>
            </w:r>
            <w:r>
              <w:rPr/>
              <w:br/>
            </w:r>
            <w:r>
              <w:rPr>
                <w:u w:val="single"/>
              </w:rPr>
              <w:t xml:space="preserve">Transporter: </w:t>
              <w:tab/>
            </w:r>
            <w:r>
              <w:rPr/>
              <w:br/>
            </w:r>
            <w:r>
              <w:rPr>
                <w:u w:val="single"/>
              </w:rPr>
              <w:t>Transporter Contract Number:</w:t>
              <w:tab/>
            </w:r>
          </w:p>
        </w:tc>
        <w:tc>
          <w:tcPr>
            <w:tcW w:w="5580" w:type="dxa"/>
            <w:tcBorders>
              <w:top w:val="single" w:sz="6" w:space="0" w:color="000000"/>
              <w:start w:val="single" w:sz="6" w:space="0" w:color="000000"/>
              <w:bottom w:val="single" w:sz="6" w:space="0" w:color="000000"/>
              <w:end w:val="double" w:sz="6" w:space="0" w:color="000000"/>
            </w:tcBorders>
          </w:tcPr>
          <w:p>
            <w:pPr>
              <w:pStyle w:val="Normal"/>
              <w:tabs>
                <w:tab w:val="clear" w:pos="720"/>
                <w:tab w:val="right" w:pos="5292" w:leader="none"/>
              </w:tabs>
              <w:spacing w:before="60" w:after="60"/>
              <w:rPr/>
            </w:pPr>
            <w:r>
              <w:rPr>
                <w:b/>
              </w:rPr>
              <w:t>BUYER:</w:t>
              <w:br/>
            </w:r>
            <w:r>
              <w:rPr>
                <w:b/>
                <w:u w:val="single"/>
              </w:rPr>
              <w:t>ABB ALSTOM POWER, INC.</w:t>
            </w:r>
            <w:r>
              <w:rPr>
                <w:u w:val="single"/>
              </w:rPr>
              <w:tab/>
            </w:r>
            <w:r>
              <w:rPr/>
              <w:br/>
            </w:r>
            <w:r>
              <w:rPr>
                <w:u w:val="single"/>
              </w:rPr>
              <w:t>Attn:  Lisa Maillet</w:t>
              <w:tab/>
            </w:r>
            <w:r>
              <w:rPr/>
              <w:br/>
            </w:r>
            <w:r>
              <w:rPr>
                <w:u w:val="single"/>
              </w:rPr>
              <w:t>Phone: (508) 786-7205</w:t>
              <w:tab/>
            </w:r>
            <w:r>
              <w:rPr/>
              <w:br/>
            </w:r>
            <w:r>
              <w:rPr>
                <w:u w:val="single"/>
              </w:rPr>
              <w:t>Fax:  (508) 786-7201</w:t>
              <w:tab/>
            </w:r>
            <w:r>
              <w:rPr/>
              <w:br/>
            </w:r>
            <w:r>
              <w:rPr>
                <w:u w:val="single"/>
              </w:rPr>
              <w:t xml:space="preserve">Base Contract No. </w:t>
              <w:tab/>
            </w:r>
            <w:r>
              <w:rPr/>
              <w:br/>
            </w:r>
            <w:r>
              <w:rPr>
                <w:u w:val="single"/>
              </w:rPr>
              <w:t xml:space="preserve">Transporter: </w:t>
              <w:tab/>
            </w:r>
            <w:r>
              <w:rPr/>
              <w:br/>
            </w:r>
            <w:r>
              <w:rPr>
                <w:u w:val="single"/>
              </w:rPr>
              <w:t>Transporter Contract Number:</w:t>
              <w:tab/>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Contract Price:</w:t>
            </w:r>
            <w:r>
              <w:rPr/>
              <w:t xml:space="preserve">  Buyer shall pay Seller a demand charge of $0.105 per MMBtu, to be applied to the Maximum Daily volume for the given period.  Timely Nominations will be priced at the Gas Daily Price  of Gas Daily Midpoint Price for Texas Intrastate, Waha area plus $0.06 per MMBtu.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5490" w:leader="none"/>
                <w:tab w:val="right" w:pos="9360" w:leader="none"/>
              </w:tabs>
              <w:spacing w:before="60" w:after="60"/>
              <w:rPr>
                <w:b/>
              </w:rPr>
            </w:pPr>
            <w:r>
              <w:rPr>
                <w:b/>
              </w:rPr>
              <w:t>Delivery Period:</w:t>
            </w:r>
            <w:r>
              <w:rPr/>
              <w:t xml:space="preserve">  Begin: September 1, 2000 </w:t>
              <w:tab/>
              <w:t>End: September 30, 2000</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left" w:pos="3240" w:leader="none"/>
                <w:tab w:val="left" w:pos="7560" w:leader="none"/>
              </w:tabs>
              <w:rPr/>
            </w:pPr>
            <w:r>
              <w:rPr>
                <w:b/>
              </w:rPr>
              <w:t>Performance Obligation and Contract Quantity:</w:t>
            </w:r>
            <w:r>
              <w:rPr/>
              <w:t xml:space="preserve">  (Select One)</w:t>
              <w:br/>
              <w:br/>
            </w:r>
            <w:r>
              <w:rPr>
                <w:b/>
              </w:rPr>
              <w:t>Firm (Fixed Quantity):</w:t>
              <w:tab/>
              <w:t>Firm (Variable Quantity):</w:t>
              <w:tab/>
              <w:t>Interruptible:</w:t>
            </w:r>
            <w:r>
              <w:rPr/>
              <w:br/>
              <w:br/>
            </w:r>
            <w:r>
              <w:rPr>
                <w:u w:val="single"/>
              </w:rPr>
              <w:t>           </w:t>
            </w:r>
            <w:r>
              <w:rPr/>
              <w:t xml:space="preserve"> MMBtus/day</w:t>
              <w:tab/>
            </w:r>
            <w:r>
              <w:rPr>
                <w:u w:val="single"/>
              </w:rPr>
              <w:t>    0     </w:t>
            </w:r>
            <w:r>
              <w:rPr/>
              <w:t xml:space="preserve"> MMBtus/day Minimum</w:t>
              <w:tab/>
              <w:t xml:space="preserve">Up to </w:t>
            </w:r>
            <w:r>
              <w:rPr>
                <w:u w:val="single"/>
              </w:rPr>
              <w:t>          </w:t>
            </w:r>
            <w:r>
              <w:rPr/>
              <w:t xml:space="preserve"> MMBtus/day</w:t>
              <w:br/>
              <w:t xml:space="preserve">     EFP</w:t>
              <w:tab/>
            </w:r>
            <w:r>
              <w:rPr>
                <w:u w:val="single"/>
              </w:rPr>
              <w:t> 40,000</w:t>
            </w:r>
            <w:r>
              <w:rPr/>
              <w:t xml:space="preserve"> MMBtus/day Maximum.</w:t>
            </w:r>
          </w:p>
          <w:p>
            <w:pPr>
              <w:pStyle w:val="Normal"/>
              <w:tabs>
                <w:tab w:val="clear" w:pos="720"/>
                <w:tab w:val="left" w:pos="3240" w:leader="none"/>
                <w:tab w:val="left" w:pos="7560" w:leader="none"/>
              </w:tabs>
              <w:rPr/>
            </w:pPr>
            <w:r>
              <w:rPr/>
              <w:tab/>
              <w:t xml:space="preserve">subject to Section </w:t>
            </w:r>
            <w:r>
              <w:fldChar w:fldCharType="begin"/>
            </w:r>
            <w:r>
              <w:rPr/>
              <w:instrText xml:space="preserve"> noms </w:instrText>
            </w:r>
            <w:r>
              <w:rPr/>
            </w:r>
            <w:r>
              <w:rPr/>
              <w:fldChar w:fldCharType="separate"/>
            </w:r>
            <w:r>
              <w:rPr/>
              <w:t>4.2.</w:t>
            </w:r>
            <w:r>
              <w:rPr/>
            </w:r>
            <w:r>
              <w:rPr/>
              <w:fldChar w:fldCharType="end"/>
            </w:r>
            <w:r>
              <w:rPr/>
              <w:t xml:space="preserve"> at election of Buyer or Seller</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right" w:pos="10710" w:leader="none"/>
              </w:tabs>
              <w:spacing w:before="60" w:after="60"/>
              <w:rPr/>
            </w:pPr>
            <w:r>
              <w:rPr>
                <w:b/>
              </w:rPr>
              <w:t xml:space="preserve">Delivery Point(s): </w:t>
            </w:r>
            <w:r>
              <w:rPr>
                <w:bCs/>
              </w:rPr>
              <w:t xml:space="preserve">Midlothian Energy Limited Partnership plant in Midlothian, Texas at PG&amp;E/Maypearl.  </w:t>
            </w:r>
          </w:p>
        </w:tc>
      </w:tr>
      <w:tr>
        <w:trPr/>
        <w:tc>
          <w:tcPr>
            <w:tcW w:w="10998" w:type="dxa"/>
            <w:gridSpan w:val="2"/>
            <w:tcBorders>
              <w:top w:val="single" w:sz="6" w:space="0" w:color="000000"/>
              <w:start w:val="double" w:sz="6" w:space="0" w:color="000000"/>
              <w:bottom w:val="single" w:sz="6" w:space="0" w:color="000000"/>
              <w:end w:val="double" w:sz="6" w:space="0" w:color="000000"/>
            </w:tcBorders>
          </w:tcPr>
          <w:p>
            <w:pPr>
              <w:pStyle w:val="Normal"/>
              <w:tabs>
                <w:tab w:val="clear" w:pos="720"/>
                <w:tab w:val="center" w:pos="4680" w:leader="none"/>
                <w:tab w:val="right" w:pos="9360" w:leader="none"/>
              </w:tabs>
              <w:spacing w:before="60" w:after="60"/>
              <w:rPr/>
            </w:pPr>
            <w:r>
              <w:rPr>
                <w:b/>
              </w:rPr>
              <w:t xml:space="preserve">Special Conditions:  </w:t>
            </w:r>
            <w:r>
              <w:rPr>
                <w:sz w:val="20"/>
              </w:rPr>
              <w:t>One of the below lines must be checked for each Transaction Confirmation:</w:t>
            </w:r>
          </w:p>
          <w:p>
            <w:pPr>
              <w:pStyle w:val="Normal"/>
              <w:tabs>
                <w:tab w:val="clear" w:pos="720"/>
                <w:tab w:val="center" w:pos="4680" w:leader="none"/>
                <w:tab w:val="right" w:pos="9360" w:leader="none"/>
              </w:tabs>
              <w:spacing w:before="60" w:after="60"/>
              <w:ind w:start="720" w:end="0"/>
              <w:rPr>
                <w:sz w:val="20"/>
              </w:rPr>
            </w:pPr>
            <w:r>
              <w:rPr>
                <w:sz w:val="20"/>
              </w:rPr>
              <w:t>________  Intrastate Warranted Gas as provided in Section 8.5 (i).</w:t>
            </w:r>
          </w:p>
          <w:p>
            <w:pPr>
              <w:pStyle w:val="Normal"/>
              <w:tabs>
                <w:tab w:val="clear" w:pos="720"/>
                <w:tab w:val="center" w:pos="4680" w:leader="none"/>
                <w:tab w:val="right" w:pos="9360" w:leader="none"/>
              </w:tabs>
              <w:spacing w:before="60" w:after="60"/>
              <w:ind w:start="720" w:end="0"/>
              <w:rPr/>
            </w:pPr>
            <w:r>
              <w:rPr>
                <w:sz w:val="20"/>
              </w:rPr>
              <w:t>____</w:t>
            </w:r>
            <w:r>
              <w:rPr>
                <w:sz w:val="20"/>
                <w:u w:val="single"/>
              </w:rPr>
              <w:t>X</w:t>
            </w:r>
            <w:r>
              <w:rPr>
                <w:sz w:val="20"/>
              </w:rPr>
              <w:t>____  Non-Warranted Gas as provided in Section 8.5 (ii).</w:t>
            </w:r>
          </w:p>
        </w:tc>
      </w:tr>
      <w:tr>
        <w:trPr/>
        <w:tc>
          <w:tcPr>
            <w:tcW w:w="5418" w:type="dxa"/>
            <w:tcBorders>
              <w:top w:val="single" w:sz="6" w:space="0" w:color="000000"/>
              <w:start w:val="double" w:sz="6" w:space="0" w:color="000000"/>
              <w:bottom w:val="double" w:sz="6" w:space="0" w:color="000000"/>
              <w:end w:val="single" w:sz="6" w:space="0" w:color="000000"/>
            </w:tcBorders>
          </w:tcPr>
          <w:p>
            <w:pPr>
              <w:pStyle w:val="Normal"/>
              <w:tabs>
                <w:tab w:val="clear" w:pos="720"/>
                <w:tab w:val="right" w:pos="5040" w:leader="none"/>
              </w:tabs>
              <w:spacing w:before="300" w:after="60"/>
              <w:rPr/>
            </w:pPr>
            <w:r>
              <w:rPr>
                <w:b/>
              </w:rPr>
              <w:t xml:space="preserve">Seller: </w:t>
            </w:r>
            <w:r>
              <w:rPr>
                <w:b/>
                <w:u w:val="single"/>
              </w:rPr>
              <w:t>ENRON NORTH AMERICA CORP.</w:t>
            </w:r>
            <w:r>
              <w:rPr/>
              <w:tab/>
              <w:br/>
              <w:br/>
              <w:t xml:space="preserve">By: </w:t>
            </w:r>
            <w:r>
              <w:rPr>
                <w:u w:val="single"/>
              </w:rPr>
              <w:tab/>
            </w:r>
            <w:r>
              <w:rPr/>
              <w:br/>
              <w:br/>
              <w:t xml:space="preserve">Title: </w:t>
            </w:r>
            <w:r>
              <w:rPr>
                <w:u w:val="single"/>
              </w:rPr>
              <w:tab/>
            </w:r>
            <w:r>
              <w:rPr/>
              <w:br/>
              <w:br/>
              <w:t xml:space="preserve">Date: </w:t>
            </w:r>
            <w:r>
              <w:rPr>
                <w:u w:val="single"/>
              </w:rPr>
              <w:tab/>
            </w:r>
          </w:p>
        </w:tc>
        <w:tc>
          <w:tcPr>
            <w:tcW w:w="5580" w:type="dxa"/>
            <w:tcBorders>
              <w:top w:val="single" w:sz="6" w:space="0" w:color="000000"/>
              <w:start w:val="single" w:sz="6" w:space="0" w:color="000000"/>
              <w:bottom w:val="double" w:sz="6" w:space="0" w:color="000000"/>
              <w:end w:val="double" w:sz="6" w:space="0" w:color="000000"/>
            </w:tcBorders>
          </w:tcPr>
          <w:p>
            <w:pPr>
              <w:pStyle w:val="DoubleSignatures"/>
              <w:tabs>
                <w:tab w:val="center" w:pos="2520" w:leader="none"/>
                <w:tab w:val="left" w:pos="3600" w:leader="none"/>
                <w:tab w:val="right" w:pos="5040" w:leader="none"/>
                <w:tab w:val="center" w:pos="5400" w:leader="none"/>
                <w:tab w:val="left" w:pos="5760" w:leader="none"/>
                <w:tab w:val="left" w:pos="6120" w:leader="none"/>
                <w:tab w:val="center" w:pos="8280" w:leader="none"/>
                <w:tab w:val="right" w:pos="10800" w:leader="none"/>
              </w:tabs>
              <w:spacing w:before="0" w:after="0"/>
              <w:ind w:end="-360"/>
              <w:rPr/>
            </w:pPr>
            <w:r>
              <w:rPr>
                <w:b/>
              </w:rPr>
              <w:t xml:space="preserve">Buyer: </w:t>
            </w:r>
            <w:r>
              <w:rPr>
                <w:b/>
                <w:sz w:val="18"/>
                <w:u w:val="single"/>
              </w:rPr>
              <w:t>ABB ALSTOM POWER, INC.________</w:t>
            </w:r>
            <w:r>
              <w:rPr>
                <w:sz w:val="18"/>
                <w:u w:val="single"/>
              </w:rPr>
              <w:tab/>
            </w:r>
            <w:r>
              <w:rPr>
                <w:sz w:val="18"/>
              </w:rPr>
              <w:br/>
              <w:tab/>
              <w:br/>
              <w:t xml:space="preserve">By:  </w:t>
            </w:r>
            <w:r>
              <w:rPr>
                <w:caps/>
                <w:kern w:val="2"/>
                <w:sz w:val="18"/>
              </w:rPr>
              <w:t>MIDLOTHIAN ENERGY LIMITED PARTNERSHIP</w:t>
            </w:r>
            <w:r>
              <w:rPr>
                <w:sz w:val="18"/>
              </w:rPr>
              <w:t xml:space="preserve">, </w:t>
            </w:r>
          </w:p>
          <w:p>
            <w:pPr>
              <w:pStyle w:val="DoubleSignatures"/>
              <w:tabs>
                <w:tab w:val="center" w:pos="2520" w:leader="none"/>
                <w:tab w:val="left" w:pos="3600" w:leader="none"/>
                <w:tab w:val="right" w:pos="5040" w:leader="none"/>
                <w:tab w:val="center" w:pos="5400" w:leader="none"/>
                <w:tab w:val="left" w:pos="5760" w:leader="none"/>
                <w:tab w:val="left" w:pos="6120" w:leader="none"/>
                <w:tab w:val="center" w:pos="8280" w:leader="none"/>
                <w:tab w:val="right" w:pos="10800" w:leader="none"/>
              </w:tabs>
              <w:spacing w:before="0" w:after="0"/>
              <w:rPr>
                <w:sz w:val="18"/>
              </w:rPr>
            </w:pPr>
            <w:r>
              <w:rPr>
                <w:sz w:val="18"/>
              </w:rPr>
              <w:t xml:space="preserve">       </w:t>
            </w:r>
            <w:r>
              <w:rPr>
                <w:sz w:val="18"/>
              </w:rPr>
              <w:t>as agent for ABB ALSTOM POWER, INC.</w:t>
            </w:r>
          </w:p>
          <w:p>
            <w:pPr>
              <w:pStyle w:val="DoubleSignatures"/>
              <w:tabs>
                <w:tab w:val="center" w:pos="2520" w:leader="none"/>
                <w:tab w:val="left" w:pos="3600" w:leader="none"/>
                <w:tab w:val="right" w:pos="5040" w:leader="none"/>
                <w:tab w:val="center" w:pos="5400" w:leader="none"/>
                <w:tab w:val="left" w:pos="5760" w:leader="none"/>
                <w:tab w:val="left" w:pos="6120" w:leader="none"/>
                <w:tab w:val="center" w:pos="8280" w:leader="none"/>
                <w:tab w:val="right" w:pos="10800" w:leader="none"/>
              </w:tabs>
              <w:spacing w:before="0" w:after="0"/>
              <w:rPr>
                <w:sz w:val="18"/>
              </w:rPr>
            </w:pPr>
            <w:r>
              <w:rPr>
                <w:sz w:val="18"/>
              </w:rPr>
              <w:t xml:space="preserve">       </w:t>
            </w:r>
            <w:r>
              <w:rPr>
                <w:sz w:val="18"/>
              </w:rPr>
              <w:t>(formerly known as ABB Power Generation, Inc.)</w:t>
            </w:r>
          </w:p>
          <w:p>
            <w:pPr>
              <w:pStyle w:val="DoubleSignatures"/>
              <w:tabs>
                <w:tab w:val="clear" w:pos="5040"/>
                <w:tab w:val="center" w:pos="0" w:leader="none"/>
                <w:tab w:val="left" w:pos="360" w:leader="none"/>
                <w:tab w:val="center" w:pos="2520" w:leader="none"/>
                <w:tab w:val="left" w:pos="3600" w:leader="none"/>
                <w:tab w:val="left" w:pos="5760" w:leader="none"/>
                <w:tab w:val="left" w:pos="6120" w:leader="none"/>
                <w:tab w:val="left" w:pos="6480" w:leader="none"/>
                <w:tab w:val="center" w:pos="8280" w:leader="none"/>
                <w:tab w:val="right" w:pos="10800" w:leader="none"/>
              </w:tabs>
              <w:spacing w:before="0" w:after="0"/>
              <w:ind w:start="360" w:end="0"/>
              <w:rPr>
                <w:sz w:val="18"/>
              </w:rPr>
            </w:pPr>
            <w:r>
              <w:rPr>
                <w:sz w:val="18"/>
              </w:rPr>
              <w:br/>
              <w:t>By:  ANP MIDLOTHIAN ENERGY COMPANY</w:t>
            </w:r>
          </w:p>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sz w:val="18"/>
              </w:rPr>
            </w:pPr>
            <w:r>
              <w:rPr>
                <w:sz w:val="18"/>
              </w:rPr>
              <w:tab/>
              <w:t>General Partner</w:t>
            </w:r>
          </w:p>
          <w:p>
            <w:pPr>
              <w:pStyle w:val="DoubleSignatures"/>
              <w:tabs>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sz w:val="18"/>
              </w:rPr>
            </w:pPr>
            <w:r>
              <w:rPr>
                <w:sz w:val="18"/>
              </w:rPr>
            </w:r>
          </w:p>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sz w:val="18"/>
              </w:rPr>
            </w:pPr>
            <w:r>
              <w:rPr>
                <w:sz w:val="18"/>
              </w:rPr>
              <w:tab/>
              <w:t>By: ____________________________________________</w:t>
            </w:r>
          </w:p>
          <w:p>
            <w:pPr>
              <w:pStyle w:val="DoubleSignatures"/>
              <w:tabs>
                <w:tab w:val="left" w:pos="720" w:leader="none"/>
                <w:tab w:val="center" w:pos="2520" w:leader="none"/>
                <w:tab w:val="left" w:pos="3600" w:leader="none"/>
                <w:tab w:val="right" w:pos="5040" w:leader="none"/>
                <w:tab w:val="center" w:pos="5400" w:leader="none"/>
                <w:tab w:val="left" w:pos="5760" w:leader="none"/>
                <w:tab w:val="left" w:pos="6120" w:leader="none"/>
                <w:tab w:val="left" w:pos="6480" w:leader="none"/>
                <w:tab w:val="center" w:pos="8280" w:leader="none"/>
                <w:tab w:val="left" w:pos="8550" w:leader="none"/>
                <w:tab w:val="right" w:pos="10800" w:leader="none"/>
              </w:tabs>
              <w:spacing w:before="0" w:after="0"/>
              <w:rPr/>
            </w:pPr>
            <w:r>
              <w:rPr/>
              <w:tab/>
              <w:t>Title: ______________________________________</w:t>
              <w:br/>
              <w:t>Date: _________________________________</w:t>
            </w:r>
            <w:r>
              <w:rPr>
                <w:u w:val="single"/>
              </w:rPr>
              <w:tab/>
            </w:r>
          </w:p>
        </w:tc>
      </w:tr>
    </w:tbl>
    <w:p>
      <w:pPr>
        <w:pStyle w:val="Normal"/>
        <w:rPr/>
      </w:pPr>
      <w:r>
        <w:rPr/>
      </w:r>
      <w:r>
        <w:br w:type="page"/>
      </w:r>
    </w:p>
    <w:p>
      <w:pPr>
        <w:pStyle w:val="Header"/>
        <w:tabs>
          <w:tab w:val="clear" w:pos="4320"/>
          <w:tab w:val="clear" w:pos="8640"/>
          <w:tab w:val="left" w:pos="0" w:leader="none"/>
        </w:tabs>
        <w:rPr>
          <w:szCs w:val="24"/>
        </w:rPr>
      </w:pPr>
      <w:r>
        <w:rPr>
          <w:szCs w:val="24"/>
        </w:rPr>
      </w:r>
    </w:p>
    <w:p>
      <w:pPr>
        <w:pStyle w:val="Normal"/>
        <w:jc w:val="center"/>
        <w:rPr/>
      </w:pPr>
      <w:r>
        <w:rPr/>
        <w:t>ATTACHMENT No. 1</w:t>
      </w:r>
    </w:p>
    <w:p>
      <w:pPr>
        <w:pStyle w:val="Normal"/>
        <w:jc w:val="center"/>
        <w:rPr/>
      </w:pPr>
      <w:r>
        <w:rPr/>
        <w:t>To</w:t>
      </w:r>
    </w:p>
    <w:p>
      <w:pPr>
        <w:pStyle w:val="Normal"/>
        <w:jc w:val="center"/>
        <w:rPr/>
      </w:pPr>
      <w:r>
        <w:rPr/>
        <w:t>Transaction Confirmation # 1</w:t>
      </w:r>
    </w:p>
    <w:p>
      <w:pPr>
        <w:pStyle w:val="Normal"/>
        <w:jc w:val="center"/>
        <w:rPr/>
      </w:pPr>
      <w:r>
        <w:rPr/>
        <w:t xml:space="preserve">Dated </w:t>
      </w:r>
    </w:p>
    <w:p>
      <w:pPr>
        <w:pStyle w:val="Normal"/>
        <w:jc w:val="center"/>
        <w:rPr/>
      </w:pPr>
      <w:r>
        <w:rPr/>
        <w:t>August 29, 2000</w:t>
      </w:r>
    </w:p>
    <w:p>
      <w:pPr>
        <w:pStyle w:val="Normal"/>
        <w:jc w:val="center"/>
        <w:rPr/>
      </w:pPr>
      <w:r>
        <w:rPr/>
      </w:r>
    </w:p>
    <w:p>
      <w:pPr>
        <w:pStyle w:val="Normal"/>
        <w:jc w:val="both"/>
        <w:rPr/>
      </w:pPr>
      <w:r>
        <w:rPr/>
        <w:tab/>
      </w:r>
    </w:p>
    <w:p>
      <w:pPr>
        <w:pStyle w:val="Normal"/>
        <w:jc w:val="both"/>
        <w:rPr/>
      </w:pPr>
      <w:r>
        <w:rPr/>
      </w:r>
    </w:p>
    <w:p>
      <w:pPr>
        <w:pStyle w:val="Normal"/>
        <w:jc w:val="both"/>
        <w:rPr/>
      </w:pPr>
      <w:r>
        <w:rPr/>
        <w:tab/>
      </w:r>
    </w:p>
    <w:p>
      <w:pPr>
        <w:pStyle w:val="BodyTextIndent"/>
        <w:ind w:hanging="0" w:start="0" w:end="0"/>
        <w:rPr/>
      </w:pPr>
      <w:r>
        <w:rPr/>
        <w:t>1.    If Buyer takes less than the nominated volume for any day, the difference between the nominated volume and Buyer’s actual purchase will be considered a Deficiency Quantity.  Seller will purchase the Deficiency Quantity from Buyer at a price equal to the Gas Daily Low Price</w:t>
      </w:r>
      <w:r>
        <w:rPr>
          <w:vertAlign w:val="superscript"/>
        </w:rPr>
        <w:t>2</w:t>
      </w:r>
      <w:r>
        <w:rPr/>
        <w:t xml:space="preserve"> per MMbtu.</w:t>
      </w:r>
    </w:p>
    <w:p>
      <w:pPr>
        <w:pStyle w:val="Normal"/>
        <w:jc w:val="both"/>
        <w:rPr/>
      </w:pPr>
      <w:r>
        <w:rPr/>
      </w:r>
    </w:p>
    <w:p>
      <w:pPr>
        <w:pStyle w:val="Normal"/>
        <w:jc w:val="both"/>
        <w:rPr/>
      </w:pPr>
      <w:r>
        <w:rPr/>
      </w:r>
    </w:p>
    <w:p>
      <w:pPr>
        <w:pStyle w:val="Normal"/>
        <w:jc w:val="both"/>
        <w:rPr/>
      </w:pPr>
      <w:r>
        <w:rPr/>
      </w:r>
    </w:p>
    <w:p>
      <w:pPr>
        <w:pStyle w:val="BodyTextIndent"/>
        <w:tabs>
          <w:tab w:val="clear" w:pos="720"/>
          <w:tab w:val="left" w:pos="360" w:leader="none"/>
        </w:tabs>
        <w:ind w:hanging="180" w:start="0" w:end="0"/>
        <w:rPr/>
      </w:pPr>
      <w:r>
        <w:rPr/>
        <w:t xml:space="preserve">  </w:t>
      </w:r>
      <w:r>
        <w:rPr/>
        <w:t>2.    If Buyer takes gas on any day in excess of nomination, the difference Buyer’s nomination and actual takes will be considered an Excess Quantity.  The price for any Excess Quantity shall be equal to the Gas Daily High Price</w:t>
      </w:r>
      <w:r>
        <w:rPr>
          <w:vertAlign w:val="superscript"/>
        </w:rPr>
        <w:t>3</w:t>
      </w:r>
      <w:r>
        <w:rPr/>
        <w:t xml:space="preserve"> plus $0.075 per MMBtu.</w:t>
      </w:r>
    </w:p>
    <w:p>
      <w:pPr>
        <w:pStyle w:val="BodyTextIndent"/>
        <w:ind w:hanging="0" w:start="0" w:end="0"/>
        <w:rPr/>
      </w:pPr>
      <w:r>
        <w:rPr/>
      </w:r>
    </w:p>
    <w:p>
      <w:pPr>
        <w:pStyle w:val="Normal"/>
        <w:jc w:val="both"/>
        <w:rPr/>
      </w:pPr>
      <w:r>
        <w:rPr/>
      </w:r>
    </w:p>
    <w:p>
      <w:pPr>
        <w:pStyle w:val="BodyTextIndent"/>
        <w:ind w:hanging="0" w:start="0" w:end="0"/>
        <w:rPr/>
      </w:pPr>
      <w:r>
        <w:rPr/>
        <w:t>3.     All hourly imbalance charges will be charged to buyer as a line item on the Gas Invoice with attached PG&amp;E statement.  Hourly Imbalance charges are as follows:</w:t>
      </w:r>
    </w:p>
    <w:p>
      <w:pPr>
        <w:pStyle w:val="BodyTextIndent"/>
        <w:ind w:hanging="0" w:start="2160" w:end="0"/>
        <w:rPr/>
      </w:pPr>
      <w:r>
        <w:rPr/>
        <w:t xml:space="preserve">0      - 10% </w:t>
        <w:tab/>
        <w:tab/>
        <w:t>$.0</w:t>
      </w:r>
    </w:p>
    <w:p>
      <w:pPr>
        <w:pStyle w:val="BodyTextIndent"/>
        <w:ind w:hanging="0" w:start="2160" w:end="0"/>
        <w:rPr/>
      </w:pPr>
      <w:r>
        <w:rPr/>
        <w:t>10% - 20%</w:t>
        <w:tab/>
        <w:tab/>
        <w:t>$.06</w:t>
        <w:tab/>
      </w:r>
    </w:p>
    <w:p>
      <w:pPr>
        <w:pStyle w:val="BodyTextIndent"/>
        <w:ind w:hanging="0" w:start="2160" w:end="0"/>
        <w:rPr/>
      </w:pPr>
      <w:r>
        <w:rPr/>
        <w:t>20% - 30%</w:t>
        <w:tab/>
        <w:tab/>
        <w:t>$.12</w:t>
      </w:r>
    </w:p>
    <w:p>
      <w:pPr>
        <w:pStyle w:val="BodyTextIndent"/>
        <w:ind w:hanging="0" w:start="2160" w:end="0"/>
        <w:rPr/>
      </w:pPr>
      <w:r>
        <w:rPr/>
        <w:t>30% -</w:t>
        <w:tab/>
        <w:tab/>
        <w:tab/>
        <w:t xml:space="preserve">$.18 </w:t>
      </w:r>
    </w:p>
    <w:p>
      <w:pPr>
        <w:pStyle w:val="Normal"/>
        <w:jc w:val="both"/>
        <w:rPr/>
      </w:pPr>
      <w:r>
        <w:rPr/>
      </w:r>
    </w:p>
    <w:p>
      <w:pPr>
        <w:pStyle w:val="Normal"/>
        <w:jc w:val="both"/>
        <w:rPr/>
      </w:pPr>
      <w:r>
        <w:rPr/>
      </w:r>
    </w:p>
    <w:p>
      <w:pPr>
        <w:pStyle w:val="Normal"/>
        <w:rPr/>
      </w:pPr>
      <w:r>
        <w:rPr/>
        <w:t>4.</w:t>
        <w:tab/>
        <w:t>Buyer will nominate to Seller each day by 9:15 AM Central Standard Time, an amount of gas to be delivered by Seller and received by Buyer during the following Gas Day.  If the Gas Day falls on a weekend or Holiday, Buyer will nominate for that Gas Day on the last business day to proceed that Gas Day.  Holiday and Weekend nominations will not vary more than plus or minus 5,000 Mmbtus a day.  For Example:  Saturdays nomination  = 30,000 Mmbtu’s a day, Sundays nomination = 35,000 Mmbtu’s a day and Mondays nomination = 30,000 Mmbtus.  Same day nomination changes are on a best efforts basis and are not considered Firm.</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FootnoteText"/>
        <w:rPr/>
      </w:pPr>
      <w:r>
        <w:rPr/>
        <w:t xml:space="preserve"> </w:t>
      </w:r>
      <w:r>
        <w:rPr/>
        <w:t>The Gas Daily Price is defined as the Midpoint for Texas Intrastate, Waha Area, as reported in the Daily Price Survey section of Gas Daily, a publication of Financial Times Energy.</w:t>
      </w:r>
    </w:p>
    <w:p>
      <w:pPr>
        <w:pStyle w:val="FootnoteText"/>
        <w:rPr/>
      </w:pPr>
      <w:r>
        <w:rPr>
          <w:vertAlign w:val="superscript"/>
        </w:rPr>
        <w:t>2</w:t>
      </w:r>
      <w:r>
        <w:rPr/>
        <w:t xml:space="preserve"> The Gas Daily Low Price is defined as the lower price in the range of Common prices for Texas Intrastate, Waha Area, as reported in the Daily Price Survey section of Gas Daily, a publication of Financial Times Energy.</w:t>
      </w:r>
    </w:p>
    <w:p>
      <w:pPr>
        <w:pStyle w:val="FootnoteText"/>
        <w:rPr/>
      </w:pPr>
      <w:r>
        <w:rPr>
          <w:vertAlign w:val="superscript"/>
        </w:rPr>
        <w:t>3</w:t>
      </w:r>
      <w:r>
        <w:rPr/>
        <w:t xml:space="preserve"> The Gas Daily High Price is defined as the higher price in the range of Common prices for Texas Intrastate, Waha Area, as reported in the Daily Price Survey section of Gas Daily, a publication of Financial Times Energy.</w:t>
      </w:r>
    </w:p>
    <w:p>
      <w:pPr>
        <w:pStyle w:val="Normal"/>
        <w:jc w:val="both"/>
        <w:rPr/>
      </w:pPr>
      <w:r>
        <w:rPr/>
      </w:r>
    </w:p>
    <w:p>
      <w:pPr>
        <w:pStyle w:val="Normal"/>
        <w:jc w:val="both"/>
        <w:rPr/>
      </w:pPr>
      <w:r>
        <w:rPr/>
      </w:r>
    </w:p>
    <w:sectPr>
      <w:headerReference w:type="default" r:id="rId2"/>
      <w:footerReference w:type="default" r:id="rId3"/>
      <w:type w:val="nextPage"/>
      <w:pgSz w:w="12240" w:h="15840"/>
      <w:pgMar w:left="72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/mnt/main-storage/datasets/enron-docs/doc/Abb_Power_GISB_CONFIRM_SEPTEMBER.doc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r>
  </w:p>
</w:hd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Cs w:val="20"/>
    </w:rPr>
  </w:style>
  <w:style w:type="paragraph" w:styleId="DoubleSignatures">
    <w:name w:val="Double Signatures"/>
    <w:basedOn w:val="Normal"/>
    <w:qFormat/>
    <w:pPr>
      <w:keepLines/>
      <w:tabs>
        <w:tab w:val="clear" w:pos="720"/>
        <w:tab w:val="center" w:pos="2520" w:leader="none"/>
        <w:tab w:val="right" w:pos="5040" w:leader="none"/>
        <w:tab w:val="left" w:pos="5760" w:leader="none"/>
        <w:tab w:val="center" w:pos="8280" w:leader="none"/>
        <w:tab w:val="right" w:pos="10800" w:leader="none"/>
      </w:tabs>
      <w:spacing w:before="0" w:after="120"/>
    </w:pPr>
    <w:rPr>
      <w:kern w:val="2"/>
      <w:sz w:val="20"/>
      <w:szCs w:val="20"/>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1800" w:start="1800" w:end="0"/>
    </w:pPr>
    <w:rPr>
      <w:szCs w:val="20"/>
    </w:rPr>
  </w:style>
  <w:style w:type="paragraph" w:styleId="FootnoteText">
    <w:name w:val="footnote text"/>
    <w:basedOn w:val="Normal"/>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2000-08-30T13:04:00Z</dcterms:created>
  <dc:creator>dhyvl</dc:creator>
  <dc:description/>
  <dc:language>en-CA</dc:language>
  <cp:lastModifiedBy>dperlin</cp:lastModifiedBy>
  <cp:lastPrinted>2000-08-30T11:39:00Z</cp:lastPrinted>
  <dcterms:modified xsi:type="dcterms:W3CDTF">2000-08-30T14:11:00Z</dcterms:modified>
  <cp:revision>3</cp:revision>
  <dc:subject/>
  <dc:title/>
</cp:coreProperties>
</file>