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ind w:start="720" w:end="0"/>
        <w:outlineLvl w:val="0"/>
        <w:rPr>
          <w:rFonts w:ascii="Arial" w:hAnsi="Arial" w:cs="Arial"/>
          <w:sz w:val="20"/>
        </w:rPr>
      </w:pPr>
      <w:r>
        <w:rPr>
          <w:rFonts w:cs="Arial" w:ascii="Arial" w:hAnsi="Arial"/>
          <w:sz w:val="20"/>
        </w:rPr>
        <w:t xml:space="preserve">Tavant Technologies, Inc. </w:t>
      </w:r>
    </w:p>
    <w:p>
      <w:pPr>
        <w:pStyle w:val="BodyText2"/>
        <w:rPr>
          <w:rFonts w:ascii="Arial" w:hAnsi="Arial" w:cs="Arial"/>
          <w:sz w:val="20"/>
        </w:rPr>
      </w:pPr>
      <w:r>
        <w:rPr>
          <w:rFonts w:cs="Arial" w:ascii="Arial" w:hAnsi="Arial"/>
          <w:sz w:val="20"/>
        </w:rPr>
      </w:r>
    </w:p>
    <w:p>
      <w:pPr>
        <w:pStyle w:val="BodyText2"/>
        <w:rPr>
          <w:rFonts w:ascii="Arial" w:hAnsi="Arial" w:cs="Arial"/>
          <w:b/>
          <w:bCs/>
        </w:rPr>
      </w:pPr>
      <w:r>
        <w:rPr>
          <w:rFonts w:cs="Arial" w:ascii="Arial" w:hAnsi="Arial"/>
        </w:rPr>
        <w:t xml:space="preserve">Tavant Technologies, Inc. offers an extensive suite of sell side commerce applications built on an advanced collaborative commerce platform. Among Tavant’s differentiators is a solution that recognizes and enables value addition by channel partners and allows them to deal with multiple (often competing) brands. The integration of Tavant’s solutions with the ERP systems of channel partners and the manufacturer, creates bi-directional visibility and operability between channel leaders (manufacturers, brand owners &amp; financial services companies) and channel partners; and thus enables participants to better manage and integrate the channel, lower their costs, strengthen their customer relationship and brand, minimize channel conflict and provide an overall better customer experience.  Tavant has a seasoned management team that has experience building successful businesses before and is very deep technically. </w:t>
      </w:r>
      <w:r>
        <w:rPr>
          <w:rFonts w:cs="Arial" w:ascii="Arial" w:hAnsi="Arial"/>
          <w:b/>
          <w:bCs/>
          <w:i/>
          <w:iCs/>
        </w:rPr>
        <w:t>Tavant has built a core expertise in powering some of the most complex industrial distribution channels of market leading, global brands such as Bobcat, Ingersoll-Rand, Club-Car, Blaw-Knox and Schlage to name a few.</w:t>
      </w:r>
    </w:p>
    <w:p>
      <w:pPr>
        <w:pStyle w:val="BodyText2"/>
        <w:rPr>
          <w:rFonts w:ascii="Arial" w:hAnsi="Arial" w:cs="Arial"/>
          <w:b/>
          <w:bCs/>
        </w:rPr>
      </w:pPr>
      <w:r>
        <w:rPr>
          <w:rFonts w:cs="Arial" w:ascii="Arial" w:hAnsi="Arial"/>
          <w:b/>
          <w:bCs/>
        </w:rPr>
      </w:r>
    </w:p>
    <w:p>
      <w:pPr>
        <w:pStyle w:val="Heading1"/>
        <w:ind w:hanging="0" w:start="0"/>
        <w:rPr>
          <w:rFonts w:ascii="Arial" w:hAnsi="Arial" w:eastAsia="Arial Unicode MS" w:cs="Arial"/>
          <w:sz w:val="20"/>
          <w:u w:val="single"/>
        </w:rPr>
      </w:pPr>
      <w:r>
        <w:rPr>
          <w:rFonts w:cs="Arial" w:ascii="Arial" w:hAnsi="Arial"/>
          <w:sz w:val="20"/>
          <w:u w:val="single"/>
        </w:rPr>
        <w:t>The Problem</w:t>
      </w:r>
    </w:p>
    <w:p>
      <w:pPr>
        <w:pStyle w:val="BodyText2"/>
        <w:rPr>
          <w:rFonts w:ascii="Arial" w:hAnsi="Arial" w:cs="Arial"/>
        </w:rPr>
      </w:pPr>
      <w:r>
        <w:rPr>
          <w:rFonts w:cs="Arial" w:ascii="Arial" w:hAnsi="Arial"/>
        </w:rPr>
        <w:t xml:space="preserve">Many businesses have enormous investments in building extensive distribution channels. Their channel partners such as dealers, distributors, brokers, franchises and agents usually are independent and may have their own geographically localized brands and customer relationships. They may often have relationships with multiple brands/manufacturers.  They are an essential part of the manufacturer’s distribution strategy because they own customer relationships, provide value-added services such as managing the lifecycle of the product and maintain the value of the manufacturer’s brand.  </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Enterprise systems deployed at the manufacturers site were designed to automate processes and connect resources within the boundaries of the enterprise. They are inadequate for conducting business and interacting with systems and resources outside the enterprise such as with channel partners and customers. First generation e-commerce platforms and applications do not work either because of their simple-minded approach of applying consumer paradigms to complex industries, their lack of application logic and inability to handle the complex array of relationships, business practices and rules of the real world.  Most sell-side solutions being built today are also inadequate because of their focus on enabling direct relationships between manufacturers and customers. They do not cater to the needs of channel partners, offer few collaborative features, and have weak systems/business process integration. These solutions have potential to create channel conflict and jeopardize one of their core assets – the distribution network.</w:t>
      </w:r>
    </w:p>
    <w:p>
      <w:pPr>
        <w:pStyle w:val="BodyText2"/>
        <w:rPr>
          <w:rFonts w:ascii="Arial" w:hAnsi="Arial" w:cs="Arial"/>
        </w:rPr>
      </w:pPr>
      <w:r>
        <w:rPr>
          <w:rFonts w:cs="Arial" w:ascii="Arial" w:hAnsi="Arial"/>
        </w:rPr>
      </w:r>
    </w:p>
    <w:p>
      <w:pPr>
        <w:pStyle w:val="BodyText2"/>
        <w:rPr>
          <w:rFonts w:ascii="Arial" w:hAnsi="Arial" w:eastAsia="Arial Unicode MS" w:cs="Arial"/>
          <w:b/>
          <w:bCs/>
          <w:u w:val="single"/>
        </w:rPr>
      </w:pPr>
      <w:r>
        <w:rPr>
          <w:rFonts w:cs="Arial" w:ascii="Arial" w:hAnsi="Arial"/>
          <w:b/>
          <w:bCs/>
          <w:u w:val="single"/>
        </w:rPr>
        <w:t xml:space="preserve">The Tavant Solution </w:t>
      </w:r>
    </w:p>
    <w:p>
      <w:pPr>
        <w:pStyle w:val="BodyText2"/>
        <w:rPr>
          <w:rFonts w:ascii="Arial" w:hAnsi="Arial" w:cs="Arial"/>
        </w:rPr>
      </w:pPr>
      <w:r>
        <w:rPr>
          <w:rFonts w:cs="Arial" w:ascii="Arial" w:hAnsi="Arial"/>
        </w:rPr>
        <w:t>Tavant’s advanced collaborative commerce platform and suite of flexible sell-side applications connect the channel partners. The manufacturer gets more visibility into the channel, the ability to provide leadership and to extend the reach of their brand, the ability to participate in equipment after-sales life and hence in downstream revenues. The channel partners get a solution for working with multiple manufacturers, allows participation in multiple partner networks that promote customer retention and generate additional revenue by cross-selling other partners’ (and manufacturers’) inventory. The solution enables all the channel participants to efficiently manage their relationships both upstream and downstream in the channel.</w:t>
      </w:r>
    </w:p>
    <w:p>
      <w:pPr>
        <w:pStyle w:val="BodyText2"/>
        <w:rPr>
          <w:rFonts w:ascii="Arial" w:hAnsi="Arial" w:cs="Arial"/>
        </w:rPr>
      </w:pPr>
      <w:r>
        <w:rPr>
          <w:rFonts w:cs="Arial" w:ascii="Arial" w:hAnsi="Arial"/>
        </w:rPr>
      </w:r>
    </w:p>
    <w:p>
      <w:pPr>
        <w:pStyle w:val="BodyText2"/>
        <w:rPr>
          <w:rFonts w:ascii="Arial" w:hAnsi="Arial" w:cs="Arial"/>
        </w:rPr>
      </w:pPr>
      <w:r>
        <w:rPr>
          <w:rFonts w:cs="Arial" w:ascii="Arial" w:hAnsi="Arial"/>
        </w:rPr>
        <w:t>Tavant’s highly flexible and configurable product offering is organized into four main categories:</w:t>
      </w:r>
    </w:p>
    <w:p>
      <w:pPr>
        <w:pStyle w:val="BodyText2"/>
        <w:rPr>
          <w:rFonts w:ascii="Arial" w:hAnsi="Arial" w:eastAsia="Arial Unicode MS" w:cs="Arial"/>
        </w:rPr>
      </w:pPr>
      <w:r>
        <w:rPr>
          <w:rFonts w:eastAsia="Arial Unicode MS" w:cs="Arial" w:ascii="Arial" w:hAnsi="Arial"/>
        </w:rPr>
      </w:r>
    </w:p>
    <w:p>
      <w:pPr>
        <w:pStyle w:val="BodyText2"/>
        <w:numPr>
          <w:ilvl w:val="0"/>
          <w:numId w:val="2"/>
        </w:numPr>
        <w:rPr>
          <w:rFonts w:ascii="Arial" w:hAnsi="Arial" w:cs="Arial"/>
        </w:rPr>
      </w:pPr>
      <w:r>
        <w:rPr>
          <w:rFonts w:cs="Arial" w:ascii="Arial" w:hAnsi="Arial"/>
          <w:b/>
          <w:bCs/>
        </w:rPr>
        <w:t>Tavant MultiChannel</w:t>
      </w:r>
      <w:r>
        <w:rPr>
          <w:rFonts w:cs="Arial" w:ascii="Arial" w:hAnsi="Arial"/>
          <w:b/>
          <w:bCs/>
          <w:position w:val="4"/>
          <w:szCs w:val="13"/>
        </w:rPr>
        <w:t>TM</w:t>
      </w:r>
      <w:r>
        <w:rPr>
          <w:rFonts w:cs="Arial" w:ascii="Arial" w:hAnsi="Arial"/>
        </w:rPr>
        <w:t xml:space="preserve"> – Consists of the following application suites</w:t>
      </w:r>
    </w:p>
    <w:p>
      <w:pPr>
        <w:pStyle w:val="BodyText2"/>
        <w:numPr>
          <w:ilvl w:val="1"/>
          <w:numId w:val="2"/>
        </w:numPr>
        <w:rPr>
          <w:rFonts w:ascii="Arial" w:hAnsi="Arial" w:eastAsia="Arial Unicode MS" w:cs="Arial"/>
        </w:rPr>
      </w:pPr>
      <w:r>
        <w:rPr>
          <w:rFonts w:cs="Arial" w:ascii="Arial" w:hAnsi="Arial"/>
        </w:rPr>
        <w:t>Tavant OMS</w:t>
      </w:r>
      <w:r>
        <w:rPr>
          <w:rFonts w:cs="Arial" w:ascii="Arial" w:hAnsi="Arial"/>
          <w:position w:val="4"/>
          <w:szCs w:val="13"/>
        </w:rPr>
        <w:t>TM</w:t>
      </w:r>
      <w:r>
        <w:rPr>
          <w:rFonts w:cs="Arial" w:ascii="Arial" w:hAnsi="Arial"/>
        </w:rPr>
        <w:t xml:space="preserve">  </w:t>
        <w:tab/>
        <w:t>Order Management Suite</w:t>
      </w:r>
    </w:p>
    <w:p>
      <w:pPr>
        <w:pStyle w:val="BodyText2"/>
        <w:numPr>
          <w:ilvl w:val="1"/>
          <w:numId w:val="2"/>
        </w:numPr>
        <w:rPr>
          <w:rFonts w:ascii="Arial" w:hAnsi="Arial" w:cs="Arial"/>
        </w:rPr>
      </w:pPr>
      <w:r>
        <w:rPr>
          <w:rFonts w:cs="Arial" w:ascii="Arial" w:hAnsi="Arial"/>
        </w:rPr>
        <w:t>Tavant WMS</w:t>
      </w:r>
      <w:r>
        <w:rPr>
          <w:rFonts w:cs="Arial" w:ascii="Arial" w:hAnsi="Arial"/>
          <w:position w:val="4"/>
          <w:szCs w:val="13"/>
        </w:rPr>
        <w:t>TM</w:t>
      </w:r>
      <w:r>
        <w:rPr>
          <w:rFonts w:cs="Arial" w:ascii="Arial" w:hAnsi="Arial"/>
        </w:rPr>
        <w:tab/>
        <w:t>Warranty and After Market Management Suite</w:t>
      </w:r>
    </w:p>
    <w:p>
      <w:pPr>
        <w:pStyle w:val="BodyText2"/>
        <w:numPr>
          <w:ilvl w:val="1"/>
          <w:numId w:val="2"/>
        </w:numPr>
        <w:rPr>
          <w:rFonts w:ascii="Arial" w:hAnsi="Arial" w:cs="Arial"/>
        </w:rPr>
      </w:pPr>
      <w:r>
        <w:rPr>
          <w:rFonts w:cs="Arial" w:ascii="Arial" w:hAnsi="Arial"/>
        </w:rPr>
        <w:t>Tavant 3TC</w:t>
      </w:r>
      <w:r>
        <w:rPr>
          <w:rFonts w:cs="Arial" w:ascii="Arial" w:hAnsi="Arial"/>
          <w:position w:val="4"/>
          <w:szCs w:val="13"/>
        </w:rPr>
        <w:t>TM</w:t>
      </w:r>
      <w:r>
        <w:rPr>
          <w:rFonts w:cs="Arial" w:ascii="Arial" w:hAnsi="Arial"/>
        </w:rPr>
        <w:tab/>
        <w:tab/>
        <w:t>Catalog and Content Management Suite</w:t>
      </w:r>
    </w:p>
    <w:p>
      <w:pPr>
        <w:pStyle w:val="BodyText2"/>
        <w:numPr>
          <w:ilvl w:val="1"/>
          <w:numId w:val="2"/>
        </w:numPr>
        <w:rPr>
          <w:rFonts w:ascii="Arial" w:hAnsi="Arial" w:cs="Arial"/>
        </w:rPr>
      </w:pPr>
      <w:r>
        <w:rPr>
          <w:rFonts w:cs="Arial" w:ascii="Arial" w:hAnsi="Arial"/>
        </w:rPr>
        <w:t>Tavant Configurator</w:t>
      </w:r>
      <w:r>
        <w:rPr>
          <w:rFonts w:cs="Arial" w:ascii="Arial" w:hAnsi="Arial"/>
          <w:position w:val="4"/>
          <w:szCs w:val="13"/>
        </w:rPr>
        <w:t>TM</w:t>
      </w:r>
      <w:r>
        <w:rPr>
          <w:rFonts w:cs="Arial" w:ascii="Arial" w:hAnsi="Arial"/>
        </w:rPr>
        <w:t xml:space="preserve"> </w:t>
        <w:tab/>
        <w:t>Advanced Product Configurator</w:t>
      </w:r>
    </w:p>
    <w:p>
      <w:pPr>
        <w:pStyle w:val="BodyText2"/>
        <w:numPr>
          <w:ilvl w:val="1"/>
          <w:numId w:val="2"/>
        </w:numPr>
        <w:rPr>
          <w:rFonts w:ascii="Arial" w:hAnsi="Arial" w:cs="Arial"/>
        </w:rPr>
      </w:pPr>
      <w:r>
        <w:rPr>
          <w:rFonts w:cs="Arial" w:ascii="Arial" w:hAnsi="Arial"/>
        </w:rPr>
        <w:t>Tavant Finance</w:t>
      </w:r>
      <w:r>
        <w:rPr>
          <w:rFonts w:cs="Arial" w:ascii="Arial" w:hAnsi="Arial"/>
          <w:position w:val="4"/>
          <w:szCs w:val="13"/>
        </w:rPr>
        <w:t>TM</w:t>
      </w:r>
      <w:r>
        <w:rPr>
          <w:rFonts w:cs="Arial" w:ascii="Arial" w:hAnsi="Arial"/>
        </w:rPr>
        <w:tab/>
        <w:t xml:space="preserve">Financing/Leasing Loan Configurator and Underwriting </w:t>
      </w:r>
    </w:p>
    <w:p>
      <w:pPr>
        <w:pStyle w:val="BodyText2"/>
        <w:numPr>
          <w:ilvl w:val="1"/>
          <w:numId w:val="2"/>
        </w:numPr>
        <w:rPr>
          <w:rFonts w:ascii="Arial" w:hAnsi="Arial" w:cs="Arial"/>
        </w:rPr>
      </w:pPr>
      <w:r>
        <w:rPr>
          <w:rFonts w:cs="Arial" w:ascii="Arial" w:hAnsi="Arial"/>
        </w:rPr>
        <w:t>Tavant Marketing</w:t>
      </w:r>
      <w:r>
        <w:rPr>
          <w:rFonts w:cs="Arial" w:ascii="Arial" w:hAnsi="Arial"/>
          <w:position w:val="4"/>
          <w:szCs w:val="13"/>
        </w:rPr>
        <w:t>TM</w:t>
      </w:r>
      <w:r>
        <w:rPr>
          <w:rFonts w:cs="Arial" w:ascii="Arial" w:hAnsi="Arial"/>
        </w:rPr>
        <w:t xml:space="preserve"> </w:t>
        <w:tab/>
        <w:t>Channel promotion, campaign &amp; collateral distribution</w:t>
      </w:r>
    </w:p>
    <w:p>
      <w:pPr>
        <w:pStyle w:val="BodyText2"/>
        <w:numPr>
          <w:ilvl w:val="1"/>
          <w:numId w:val="2"/>
        </w:numPr>
        <w:rPr>
          <w:rFonts w:ascii="Arial" w:hAnsi="Arial" w:cs="Arial"/>
        </w:rPr>
      </w:pPr>
      <w:r>
        <w:rPr>
          <w:rFonts w:cs="Arial" w:ascii="Arial" w:hAnsi="Arial"/>
        </w:rPr>
        <w:t>Tavant Storefront</w:t>
      </w:r>
      <w:r>
        <w:rPr>
          <w:rFonts w:cs="Arial" w:ascii="Arial" w:hAnsi="Arial"/>
          <w:position w:val="4"/>
          <w:szCs w:val="13"/>
        </w:rPr>
        <w:t>TM</w:t>
      </w:r>
      <w:r>
        <w:rPr>
          <w:rFonts w:cs="Arial" w:ascii="Arial" w:hAnsi="Arial"/>
        </w:rPr>
        <w:tab/>
        <w:t>Channel partner syndicated/co-branded web storefronts</w:t>
      </w:r>
    </w:p>
    <w:p>
      <w:pPr>
        <w:pStyle w:val="BodyText2"/>
        <w:numPr>
          <w:ilvl w:val="1"/>
          <w:numId w:val="2"/>
        </w:numPr>
        <w:rPr>
          <w:rFonts w:ascii="Arial" w:hAnsi="Arial" w:cs="Arial"/>
        </w:rPr>
      </w:pPr>
      <w:r>
        <w:rPr>
          <w:rFonts w:cs="Arial" w:ascii="Arial" w:hAnsi="Arial"/>
        </w:rPr>
        <w:t>Tavant IMS</w:t>
      </w:r>
      <w:r>
        <w:rPr>
          <w:rFonts w:cs="Arial" w:ascii="Arial" w:hAnsi="Arial"/>
          <w:position w:val="4"/>
          <w:szCs w:val="13"/>
        </w:rPr>
        <w:t>TM</w:t>
      </w:r>
      <w:r>
        <w:rPr>
          <w:rFonts w:cs="Arial" w:ascii="Arial" w:hAnsi="Arial"/>
        </w:rPr>
        <w:t xml:space="preserve">  </w:t>
        <w:tab/>
        <w:tab/>
        <w:t>Channel Inventory Management Suite</w:t>
      </w:r>
    </w:p>
    <w:p>
      <w:pPr>
        <w:pStyle w:val="BodyText2"/>
        <w:numPr>
          <w:ilvl w:val="1"/>
          <w:numId w:val="2"/>
        </w:numPr>
        <w:rPr>
          <w:rFonts w:ascii="Arial" w:hAnsi="Arial" w:cs="Arial"/>
        </w:rPr>
      </w:pPr>
      <w:r>
        <w:rPr>
          <w:rFonts w:cs="Arial" w:ascii="Arial" w:hAnsi="Arial"/>
        </w:rPr>
        <w:t>Tavant BI</w:t>
      </w:r>
      <w:r>
        <w:rPr>
          <w:rFonts w:cs="Arial" w:ascii="Arial" w:hAnsi="Arial"/>
          <w:position w:val="4"/>
          <w:szCs w:val="13"/>
        </w:rPr>
        <w:t>TM</w:t>
      </w:r>
      <w:r>
        <w:rPr>
          <w:rFonts w:cs="Arial" w:ascii="Arial" w:hAnsi="Arial"/>
        </w:rPr>
        <w:t xml:space="preserve">  </w:t>
        <w:tab/>
        <w:tab/>
        <w:t>Business Intelligence, Analytics and Reporting</w:t>
      </w:r>
    </w:p>
    <w:p>
      <w:pPr>
        <w:pStyle w:val="BodyText2"/>
        <w:numPr>
          <w:ilvl w:val="1"/>
          <w:numId w:val="2"/>
        </w:numPr>
        <w:rPr>
          <w:rFonts w:ascii="Arial" w:hAnsi="Arial" w:cs="Arial"/>
        </w:rPr>
      </w:pPr>
      <w:r>
        <w:rPr>
          <w:rFonts w:cs="Arial" w:ascii="Arial" w:hAnsi="Arial"/>
        </w:rPr>
        <w:t>Tavant OPS</w:t>
      </w:r>
      <w:r>
        <w:rPr>
          <w:rFonts w:cs="Arial" w:ascii="Arial" w:hAnsi="Arial"/>
          <w:position w:val="4"/>
          <w:szCs w:val="13"/>
        </w:rPr>
        <w:t>TM</w:t>
      </w:r>
      <w:r>
        <w:rPr>
          <w:rFonts w:cs="Arial" w:ascii="Arial" w:hAnsi="Arial"/>
        </w:rPr>
        <w:tab/>
        <w:tab/>
        <w:t>Optimization &amp; Planning Suite</w:t>
      </w:r>
    </w:p>
    <w:p>
      <w:pPr>
        <w:pStyle w:val="BodyText2"/>
        <w:ind w:start="360" w:end="0"/>
        <w:rPr>
          <w:rFonts w:ascii="Arial" w:hAnsi="Arial" w:eastAsia="Arial Unicode MS" w:cs="Arial"/>
          <w:szCs w:val="20"/>
        </w:rPr>
      </w:pPr>
      <w:r>
        <w:rPr>
          <w:rFonts w:eastAsia="Arial Unicode MS" w:cs="Arial" w:ascii="Arial" w:hAnsi="Arial"/>
          <w:szCs w:val="20"/>
        </w:rPr>
      </w:r>
    </w:p>
    <w:p>
      <w:pPr>
        <w:pStyle w:val="BodyText2"/>
        <w:numPr>
          <w:ilvl w:val="0"/>
          <w:numId w:val="2"/>
        </w:numPr>
        <w:rPr>
          <w:rFonts w:ascii="Arial" w:hAnsi="Arial" w:eastAsia="Arial Unicode MS" w:cs="Arial"/>
          <w:szCs w:val="20"/>
        </w:rPr>
      </w:pPr>
      <w:r>
        <w:rPr>
          <w:rFonts w:cs="Arial" w:ascii="Arial" w:hAnsi="Arial"/>
          <w:b/>
          <w:bCs/>
        </w:rPr>
        <w:t>Tavant MLC</w:t>
      </w:r>
      <w:r>
        <w:rPr>
          <w:rFonts w:cs="Arial" w:ascii="Arial" w:hAnsi="Arial"/>
          <w:b/>
          <w:bCs/>
          <w:position w:val="4"/>
          <w:szCs w:val="13"/>
        </w:rPr>
        <w:t>TM</w:t>
      </w:r>
      <w:r>
        <w:rPr>
          <w:rFonts w:cs="Arial" w:ascii="Arial" w:hAnsi="Arial"/>
        </w:rPr>
        <w:t xml:space="preserve"> – This </w:t>
      </w:r>
      <w:r>
        <w:rPr>
          <w:rFonts w:cs="Arial" w:ascii="Arial" w:hAnsi="Arial"/>
          <w:szCs w:val="20"/>
        </w:rPr>
        <w:t>unique collaboration engine enables loosely coupled enterprises such as manufacturers, dealers, distributors, reseller, agents, retailers and brokers to effectively conduct business with each other in a complex framework of real world rules. Capabilities include:</w:t>
      </w:r>
    </w:p>
    <w:p>
      <w:pPr>
        <w:pStyle w:val="BodyText2"/>
        <w:numPr>
          <w:ilvl w:val="1"/>
          <w:numId w:val="2"/>
        </w:numPr>
        <w:rPr>
          <w:rFonts w:ascii="Arial" w:hAnsi="Arial" w:cs="Arial"/>
          <w:i/>
          <w:i/>
          <w:iCs/>
          <w:szCs w:val="20"/>
        </w:rPr>
      </w:pPr>
      <w:r>
        <w:rPr>
          <w:rFonts w:cs="Arial" w:ascii="Arial" w:hAnsi="Arial"/>
          <w:szCs w:val="20"/>
        </w:rPr>
        <w:t xml:space="preserve">Participation in </w:t>
      </w:r>
      <w:r>
        <w:rPr>
          <w:rFonts w:cs="Arial" w:ascii="Arial" w:hAnsi="Arial"/>
          <w:i/>
          <w:iCs/>
          <w:szCs w:val="20"/>
        </w:rPr>
        <w:t>multiple</w:t>
      </w:r>
      <w:r>
        <w:rPr>
          <w:rFonts w:cs="Arial" w:ascii="Arial" w:hAnsi="Arial"/>
          <w:szCs w:val="20"/>
        </w:rPr>
        <w:t xml:space="preserve"> channels </w:t>
      </w:r>
      <w:r>
        <w:rPr>
          <w:rFonts w:cs="Arial" w:ascii="Arial" w:hAnsi="Arial"/>
          <w:i/>
          <w:iCs/>
          <w:szCs w:val="20"/>
        </w:rPr>
        <w:t>concurrently</w:t>
      </w:r>
    </w:p>
    <w:p>
      <w:pPr>
        <w:pStyle w:val="BodyText2"/>
        <w:numPr>
          <w:ilvl w:val="1"/>
          <w:numId w:val="2"/>
        </w:numPr>
        <w:rPr>
          <w:rFonts w:ascii="Arial" w:hAnsi="Arial" w:cs="Arial"/>
          <w:szCs w:val="18"/>
        </w:rPr>
      </w:pPr>
      <w:r>
        <w:rPr>
          <w:rFonts w:cs="Arial" w:ascii="Arial" w:hAnsi="Arial"/>
          <w:szCs w:val="18"/>
        </w:rPr>
        <w:t>Each partner in multiple channels (e.g., multi-line dealer working with different manufacturers)</w:t>
      </w:r>
    </w:p>
    <w:p>
      <w:pPr>
        <w:pStyle w:val="BodyText2"/>
        <w:numPr>
          <w:ilvl w:val="1"/>
          <w:numId w:val="2"/>
        </w:numPr>
        <w:rPr>
          <w:rFonts w:ascii="Arial" w:hAnsi="Arial" w:cs="Arial"/>
          <w:szCs w:val="18"/>
        </w:rPr>
      </w:pPr>
      <w:r>
        <w:rPr>
          <w:rFonts w:cs="Arial" w:ascii="Arial" w:hAnsi="Arial"/>
          <w:szCs w:val="18"/>
        </w:rPr>
        <w:t>Each resource in multiple channels (e.g., product in inventory sold through different channels)</w:t>
      </w:r>
    </w:p>
    <w:p>
      <w:pPr>
        <w:pStyle w:val="BodyText2"/>
        <w:numPr>
          <w:ilvl w:val="1"/>
          <w:numId w:val="2"/>
        </w:numPr>
        <w:rPr>
          <w:rFonts w:ascii="Arial" w:hAnsi="Arial" w:cs="Arial"/>
          <w:szCs w:val="20"/>
        </w:rPr>
      </w:pPr>
      <w:r>
        <w:rPr>
          <w:rFonts w:cs="Arial" w:ascii="Arial" w:hAnsi="Arial"/>
          <w:szCs w:val="20"/>
        </w:rPr>
        <w:t>Dynamic reconfiguration of business networks/channels – membership, products, geographies, brands, rules (pricing, expandability), processes, branding, look and feel</w:t>
      </w:r>
    </w:p>
    <w:p>
      <w:pPr>
        <w:pStyle w:val="BodyText2"/>
        <w:numPr>
          <w:ilvl w:val="1"/>
          <w:numId w:val="2"/>
        </w:numPr>
        <w:rPr>
          <w:rFonts w:ascii="Arial" w:hAnsi="Arial" w:cs="Arial"/>
          <w:szCs w:val="20"/>
        </w:rPr>
      </w:pPr>
      <w:r>
        <w:rPr>
          <w:rFonts w:cs="Arial" w:ascii="Arial" w:hAnsi="Arial"/>
          <w:szCs w:val="20"/>
        </w:rPr>
        <w:t>Supports all resources and processes in integrated fashion: catalogs, inventory, orders, payments, warranty claims, marketing promotions, etc.</w:t>
      </w:r>
    </w:p>
    <w:p>
      <w:pPr>
        <w:pStyle w:val="BodyText2"/>
        <w:numPr>
          <w:ilvl w:val="1"/>
          <w:numId w:val="2"/>
        </w:numPr>
        <w:rPr>
          <w:rFonts w:ascii="Arial" w:hAnsi="Arial" w:cs="Arial"/>
          <w:szCs w:val="20"/>
        </w:rPr>
      </w:pPr>
      <w:r>
        <w:rPr>
          <w:rFonts w:cs="Arial" w:ascii="Arial" w:hAnsi="Arial"/>
          <w:szCs w:val="20"/>
        </w:rPr>
        <w:t>Supports varying degrees of data quality: complete vs. partial, live vs. stale.</w:t>
      </w:r>
    </w:p>
    <w:p>
      <w:pPr>
        <w:pStyle w:val="BodyText2"/>
        <w:ind w:start="360" w:end="0"/>
        <w:rPr>
          <w:rFonts w:ascii="Arial" w:hAnsi="Arial" w:cs="Arial"/>
          <w:szCs w:val="20"/>
        </w:rPr>
      </w:pPr>
      <w:r>
        <w:rPr>
          <w:rFonts w:cs="Arial" w:ascii="Arial" w:hAnsi="Arial"/>
          <w:szCs w:val="20"/>
        </w:rPr>
      </w:r>
    </w:p>
    <w:p>
      <w:pPr>
        <w:pStyle w:val="BodyText2"/>
        <w:numPr>
          <w:ilvl w:val="0"/>
          <w:numId w:val="2"/>
        </w:numPr>
        <w:rPr>
          <w:rFonts w:ascii="Arial" w:hAnsi="Arial" w:eastAsia="Arial Unicode MS" w:cs="Arial"/>
          <w:szCs w:val="20"/>
        </w:rPr>
      </w:pPr>
      <w:r>
        <w:rPr>
          <w:rFonts w:cs="Arial" w:ascii="Arial" w:hAnsi="Arial"/>
          <w:b/>
          <w:bCs/>
        </w:rPr>
        <w:t>Tavant InterConnect</w:t>
      </w:r>
      <w:r>
        <w:rPr>
          <w:rFonts w:cs="Arial" w:ascii="Arial" w:hAnsi="Arial"/>
          <w:b/>
          <w:bCs/>
          <w:position w:val="4"/>
          <w:szCs w:val="13"/>
        </w:rPr>
        <w:t>TM</w:t>
      </w:r>
      <w:r>
        <w:rPr>
          <w:rFonts w:cs="Arial" w:ascii="Arial" w:hAnsi="Arial"/>
        </w:rPr>
        <w:t xml:space="preserve"> –</w:t>
      </w:r>
      <w:r>
        <w:rPr>
          <w:rFonts w:cs="Arial" w:ascii="Arial" w:hAnsi="Arial"/>
          <w:szCs w:val="20"/>
        </w:rPr>
        <w:t xml:space="preserve"> Tavant InterConnect</w:t>
      </w:r>
      <w:r>
        <w:rPr>
          <w:rFonts w:cs="Arial" w:ascii="Arial" w:hAnsi="Arial"/>
          <w:position w:val="4"/>
          <w:szCs w:val="13"/>
        </w:rPr>
        <w:t xml:space="preserve">TM </w:t>
      </w:r>
      <w:r>
        <w:rPr>
          <w:rFonts w:cs="Arial" w:ascii="Arial" w:hAnsi="Arial"/>
          <w:szCs w:val="20"/>
        </w:rPr>
        <w:t xml:space="preserve"> is highly configurable Systems, Data and Business Process Integration platform that enables loosely coupled enterprises such as manufacturers, dealers, distributors, reseller, agents, retailers, brokers, customers and other channel members to effectively and collaboratively conduct business. Its features include:</w:t>
      </w:r>
    </w:p>
    <w:p>
      <w:pPr>
        <w:pStyle w:val="BodyText2"/>
        <w:numPr>
          <w:ilvl w:val="1"/>
          <w:numId w:val="2"/>
        </w:numPr>
        <w:rPr>
          <w:rFonts w:ascii="Arial" w:hAnsi="Arial" w:cs="Arial"/>
          <w:szCs w:val="18"/>
        </w:rPr>
      </w:pPr>
      <w:r>
        <w:rPr>
          <w:rFonts w:cs="Arial" w:ascii="Arial" w:hAnsi="Arial"/>
          <w:szCs w:val="18"/>
        </w:rPr>
        <w:t>Integrates systems via their business process APIs (e.g., “submit purchase order”)</w:t>
      </w:r>
    </w:p>
    <w:p>
      <w:pPr>
        <w:pStyle w:val="BodyText2"/>
        <w:numPr>
          <w:ilvl w:val="1"/>
          <w:numId w:val="2"/>
        </w:numPr>
        <w:rPr>
          <w:rFonts w:ascii="Arial" w:hAnsi="Arial" w:cs="Arial"/>
          <w:szCs w:val="18"/>
        </w:rPr>
      </w:pPr>
      <w:r>
        <w:rPr>
          <w:rFonts w:cs="Arial" w:ascii="Arial" w:hAnsi="Arial"/>
          <w:szCs w:val="18"/>
        </w:rPr>
        <w:t>Can cache or pass through business objects that other systems own</w:t>
      </w:r>
    </w:p>
    <w:p>
      <w:pPr>
        <w:pStyle w:val="BodyText2"/>
        <w:numPr>
          <w:ilvl w:val="1"/>
          <w:numId w:val="2"/>
        </w:numPr>
        <w:rPr>
          <w:rFonts w:ascii="Arial" w:hAnsi="Arial" w:cs="Arial"/>
          <w:szCs w:val="18"/>
        </w:rPr>
      </w:pPr>
      <w:r>
        <w:rPr>
          <w:rFonts w:cs="Arial" w:ascii="Arial" w:hAnsi="Arial"/>
          <w:szCs w:val="18"/>
        </w:rPr>
        <w:t>Connects with external web services (WSDL, UDDI)</w:t>
      </w:r>
    </w:p>
    <w:p>
      <w:pPr>
        <w:pStyle w:val="BodyText2"/>
        <w:numPr>
          <w:ilvl w:val="1"/>
          <w:numId w:val="2"/>
        </w:numPr>
        <w:rPr>
          <w:rFonts w:ascii="Arial" w:hAnsi="Arial" w:cs="Arial"/>
          <w:szCs w:val="18"/>
        </w:rPr>
      </w:pPr>
      <w:r>
        <w:rPr>
          <w:rFonts w:cs="Arial" w:ascii="Arial" w:hAnsi="Arial"/>
          <w:szCs w:val="18"/>
        </w:rPr>
        <w:t>Several partner-side software: browser, file-sharing agent, workflow agent, XML server</w:t>
      </w:r>
    </w:p>
    <w:p>
      <w:pPr>
        <w:pStyle w:val="BodyText2"/>
        <w:numPr>
          <w:ilvl w:val="1"/>
          <w:numId w:val="2"/>
        </w:numPr>
        <w:rPr>
          <w:rFonts w:ascii="Arial" w:hAnsi="Arial" w:cs="Arial"/>
          <w:szCs w:val="18"/>
        </w:rPr>
      </w:pPr>
      <w:r>
        <w:rPr>
          <w:rFonts w:cs="Arial" w:ascii="Arial" w:hAnsi="Arial"/>
          <w:szCs w:val="18"/>
        </w:rPr>
        <w:t>Secure communications (typically HTTPS)</w:t>
      </w:r>
    </w:p>
    <w:p>
      <w:pPr>
        <w:pStyle w:val="BodyText2"/>
        <w:numPr>
          <w:ilvl w:val="1"/>
          <w:numId w:val="2"/>
        </w:numPr>
        <w:rPr>
          <w:rFonts w:ascii="Arial" w:hAnsi="Arial" w:cs="Arial"/>
          <w:szCs w:val="18"/>
        </w:rPr>
      </w:pPr>
      <w:r>
        <w:rPr>
          <w:rFonts w:cs="Arial" w:ascii="Arial" w:hAnsi="Arial"/>
          <w:szCs w:val="18"/>
        </w:rPr>
        <w:t>Multiple messaging models: request/response, publish/subscribe</w:t>
      </w:r>
    </w:p>
    <w:p>
      <w:pPr>
        <w:pStyle w:val="BodyText2"/>
        <w:numPr>
          <w:ilvl w:val="1"/>
          <w:numId w:val="2"/>
        </w:numPr>
        <w:rPr>
          <w:rFonts w:ascii="Arial" w:hAnsi="Arial" w:cs="Arial"/>
          <w:szCs w:val="18"/>
        </w:rPr>
      </w:pPr>
      <w:r>
        <w:rPr>
          <w:rFonts w:cs="Arial" w:ascii="Arial" w:hAnsi="Arial"/>
          <w:szCs w:val="18"/>
        </w:rPr>
        <w:t>Multiple B2B messaging protocols: RosettaNet, XOCP, custom, etc.</w:t>
      </w:r>
    </w:p>
    <w:p>
      <w:pPr>
        <w:pStyle w:val="BodyText2"/>
        <w:numPr>
          <w:ilvl w:val="1"/>
          <w:numId w:val="2"/>
        </w:numPr>
        <w:rPr>
          <w:rFonts w:ascii="Arial" w:hAnsi="Arial" w:cs="Arial"/>
          <w:b/>
          <w:bCs/>
          <w:u w:val="single"/>
        </w:rPr>
      </w:pPr>
      <w:r>
        <w:rPr>
          <w:rFonts w:cs="Arial" w:ascii="Arial" w:hAnsi="Arial"/>
          <w:szCs w:val="18"/>
        </w:rPr>
        <w:t>Multiple message delivery guarantee levels to accommodate varied system capabilities</w:t>
      </w:r>
    </w:p>
    <w:p>
      <w:pPr>
        <w:pStyle w:val="BodyText2"/>
        <w:numPr>
          <w:ilvl w:val="0"/>
          <w:numId w:val="2"/>
        </w:numPr>
        <w:rPr>
          <w:rFonts w:ascii="Arial" w:hAnsi="Arial" w:cs="Arial"/>
          <w:b/>
          <w:bCs/>
          <w:u w:val="single"/>
        </w:rPr>
      </w:pPr>
      <w:r>
        <w:rPr>
          <w:rFonts w:cs="Arial" w:ascii="Arial" w:hAnsi="Arial"/>
          <w:b/>
          <w:bCs/>
          <w:szCs w:val="18"/>
        </w:rPr>
        <w:t>Tavant MultiTenant</w:t>
      </w:r>
      <w:r>
        <w:rPr>
          <w:rFonts w:cs="Arial" w:ascii="Arial" w:hAnsi="Arial"/>
          <w:b/>
          <w:bCs/>
          <w:position w:val="4"/>
          <w:szCs w:val="13"/>
        </w:rPr>
        <w:t>TM</w:t>
      </w:r>
      <w:r>
        <w:rPr>
          <w:rFonts w:cs="Arial" w:ascii="Arial" w:hAnsi="Arial"/>
          <w:szCs w:val="18"/>
        </w:rPr>
        <w:t xml:space="preserve"> – Tavant MultiTenant</w:t>
      </w:r>
      <w:r>
        <w:rPr>
          <w:rFonts w:cs="Arial" w:ascii="Arial" w:hAnsi="Arial"/>
          <w:szCs w:val="18"/>
          <w:vertAlign w:val="superscript"/>
        </w:rPr>
        <w:t>TM</w:t>
      </w:r>
      <w:r>
        <w:rPr>
          <w:rFonts w:cs="Arial" w:ascii="Arial" w:hAnsi="Arial"/>
          <w:szCs w:val="18"/>
        </w:rPr>
        <w:t xml:space="preserve"> is a turnkey managed and hosted service delivery capability that leverages Tavant’s SIMTA (</w:t>
      </w:r>
      <w:r>
        <w:rPr>
          <w:rFonts w:cs="Arial" w:ascii="Arial" w:hAnsi="Arial"/>
        </w:rPr>
        <w:t>Single Instance Multi-Tenant Architecture)</w:t>
      </w:r>
      <w:r>
        <w:rPr>
          <w:rFonts w:cs="Arial" w:ascii="Arial" w:hAnsi="Arial"/>
          <w:szCs w:val="18"/>
        </w:rPr>
        <w:t xml:space="preserve"> and enables customers to rapidly deploy our advanced solutions at the lowest total cost of ownership.  This model also eliminates the huge upfront investment in hardware, software, middleware that is typically required in enterprise systems implementation.  It also minimizes the need to hire specialized personnel and retrain existing staff. </w:t>
      </w:r>
    </w:p>
    <w:p>
      <w:pPr>
        <w:pStyle w:val="BodyText2"/>
        <w:rPr>
          <w:rFonts w:ascii="Arial" w:hAnsi="Arial" w:cs="Arial"/>
          <w:b/>
          <w:bCs/>
          <w:u w:val="single"/>
        </w:rPr>
      </w:pPr>
      <w:r>
        <w:rPr>
          <w:rFonts w:cs="Arial" w:ascii="Arial" w:hAnsi="Arial"/>
          <w:b/>
          <w:bCs/>
          <w:u w:val="single"/>
        </w:rPr>
      </w:r>
    </w:p>
    <w:p>
      <w:pPr>
        <w:pStyle w:val="BodyText2"/>
        <w:rPr>
          <w:rFonts w:ascii="Arial" w:hAnsi="Arial" w:cs="Arial"/>
          <w:b/>
          <w:bCs/>
          <w:u w:val="single"/>
        </w:rPr>
      </w:pPr>
      <w:r>
        <w:rPr>
          <w:rFonts w:cs="Arial" w:ascii="Arial" w:hAnsi="Arial"/>
          <w:b/>
          <w:bCs/>
          <w:u w:val="single"/>
        </w:rPr>
      </w:r>
    </w:p>
    <w:p>
      <w:pPr>
        <w:pStyle w:val="BodyText2"/>
        <w:tabs>
          <w:tab w:val="clear" w:pos="720"/>
          <w:tab w:val="left" w:pos="6960" w:leader="none"/>
        </w:tabs>
        <w:rPr>
          <w:rFonts w:ascii="Arial" w:hAnsi="Arial" w:cs="Arial"/>
          <w:b/>
          <w:bCs/>
          <w:u w:val="single"/>
        </w:rPr>
      </w:pPr>
      <w:r>
        <w:rPr>
          <w:rFonts w:cs="Arial" w:ascii="Arial" w:hAnsi="Arial"/>
          <w:b/>
          <w:bCs/>
          <w:u w:val="single"/>
        </w:rPr>
        <w:tab/>
      </w:r>
    </w:p>
    <w:p>
      <w:pPr>
        <w:pStyle w:val="BodyText2"/>
        <w:rPr>
          <w:rFonts w:ascii="Arial" w:hAnsi="Arial" w:cs="Arial"/>
          <w:b/>
          <w:bCs/>
          <w:u w:val="single"/>
        </w:rPr>
      </w:pPr>
      <w:r>
        <w:rPr>
          <w:rFonts w:cs="Arial" w:ascii="Arial" w:hAnsi="Arial"/>
          <w:b/>
          <w:bCs/>
          <w:u w:val="single"/>
        </w:rPr>
      </w:r>
    </w:p>
    <w:p>
      <w:pPr>
        <w:pStyle w:val="BodyText2"/>
        <w:rPr>
          <w:rFonts w:ascii="Arial" w:hAnsi="Arial" w:cs="Arial"/>
          <w:b/>
          <w:bCs/>
          <w:u w:val="single"/>
        </w:rPr>
      </w:pPr>
      <w:r>
        <w:rPr>
          <w:rFonts w:cs="Arial" w:ascii="Arial" w:hAnsi="Arial"/>
          <w:b/>
          <w:bCs/>
          <w:u w:val="single"/>
        </w:rPr>
      </w:r>
    </w:p>
    <w:p>
      <w:pPr>
        <w:pStyle w:val="BodyText2"/>
        <w:rPr>
          <w:rFonts w:ascii="Arial" w:hAnsi="Arial" w:cs="Arial"/>
          <w:b/>
          <w:bCs/>
          <w:u w:val="single"/>
        </w:rPr>
      </w:pPr>
      <w:r>
        <w:rPr>
          <w:rFonts w:cs="Arial" w:ascii="Arial" w:hAnsi="Arial"/>
          <w:b/>
          <w:bCs/>
          <w:u w:val="single"/>
        </w:rPr>
      </w:r>
    </w:p>
    <w:p>
      <w:pPr>
        <w:pStyle w:val="BodyText2"/>
        <w:rPr>
          <w:rFonts w:ascii="Arial" w:hAnsi="Arial" w:cs="Arial"/>
          <w:b/>
          <w:bCs/>
          <w:u w:val="single"/>
        </w:rPr>
      </w:pPr>
      <w:r>
        <w:rPr>
          <w:rFonts w:cs="Arial" w:ascii="Arial" w:hAnsi="Arial"/>
          <w:b/>
          <w:bCs/>
          <w:u w:val="single"/>
        </w:rPr>
        <w:t>Benefits</w:t>
      </w:r>
    </w:p>
    <w:p>
      <w:pPr>
        <w:pStyle w:val="BodyText2"/>
        <w:rPr>
          <w:rFonts w:ascii="Arial" w:hAnsi="Arial" w:eastAsia="Arial Unicode MS" w:cs="Arial"/>
        </w:rPr>
      </w:pPr>
      <w:r>
        <w:rPr>
          <w:rFonts w:cs="Arial" w:ascii="Arial" w:hAnsi="Arial"/>
        </w:rPr>
        <w:t>The overall benefits of using Tavant’s products can be summarized as follows:</w:t>
      </w:r>
    </w:p>
    <w:p>
      <w:pPr>
        <w:pStyle w:val="BodyText2"/>
        <w:ind w:start="720" w:end="0"/>
        <w:rPr>
          <w:rFonts w:ascii="Arial" w:hAnsi="Arial" w:cs="Arial"/>
        </w:rPr>
      </w:pPr>
      <w:r>
        <w:rPr>
          <w:rFonts w:cs="Arial" w:ascii="Arial" w:hAnsi="Arial"/>
        </w:rPr>
        <w:t>•</w:t>
      </w:r>
      <w:r>
        <w:rPr>
          <w:rFonts w:cs="Arial" w:ascii="Arial" w:hAnsi="Arial"/>
        </w:rPr>
        <w:t>Improve customer intimacy and extend brand reach</w:t>
      </w:r>
    </w:p>
    <w:p>
      <w:pPr>
        <w:pStyle w:val="BodyText2"/>
        <w:ind w:start="720" w:end="0"/>
        <w:rPr>
          <w:rFonts w:ascii="Arial" w:hAnsi="Arial" w:cs="Arial"/>
        </w:rPr>
      </w:pPr>
      <w:r>
        <w:rPr>
          <w:rFonts w:cs="Arial" w:ascii="Arial" w:hAnsi="Arial"/>
        </w:rPr>
        <w:t>•</w:t>
      </w:r>
      <w:r>
        <w:rPr>
          <w:rFonts w:cs="Arial" w:ascii="Arial" w:hAnsi="Arial"/>
        </w:rPr>
        <w:t>Capture “after-market” revenues (parts, services, rentals, used equipment, leasing, warranties, etc.)</w:t>
      </w:r>
    </w:p>
    <w:p>
      <w:pPr>
        <w:pStyle w:val="BodyText2"/>
        <w:ind w:start="720" w:end="0"/>
        <w:rPr>
          <w:rFonts w:ascii="Arial" w:hAnsi="Arial" w:cs="Arial"/>
        </w:rPr>
      </w:pPr>
      <w:r>
        <w:rPr>
          <w:rFonts w:cs="Arial" w:ascii="Arial" w:hAnsi="Arial"/>
        </w:rPr>
        <w:t>•</w:t>
      </w:r>
      <w:r>
        <w:rPr>
          <w:rFonts w:cs="Arial" w:ascii="Arial" w:hAnsi="Arial"/>
        </w:rPr>
        <w:t>Provide better service to channel partners (marketing, sales, catalog, inventory, etc.)</w:t>
      </w:r>
    </w:p>
    <w:p>
      <w:pPr>
        <w:pStyle w:val="BodyText2"/>
        <w:ind w:start="720" w:end="0"/>
        <w:rPr>
          <w:rFonts w:ascii="Arial" w:hAnsi="Arial" w:cs="Arial"/>
        </w:rPr>
      </w:pPr>
      <w:r>
        <w:rPr>
          <w:rFonts w:cs="Arial" w:ascii="Arial" w:hAnsi="Arial"/>
        </w:rPr>
        <w:t>•</w:t>
      </w:r>
      <w:r>
        <w:rPr>
          <w:rFonts w:cs="Arial" w:ascii="Arial" w:hAnsi="Arial"/>
        </w:rPr>
        <w:t>Provide real-time integration (product, pricing, availability, orders, shipments, claims and          tracking) with ERP/Legacy applications</w:t>
      </w:r>
    </w:p>
    <w:p>
      <w:pPr>
        <w:pStyle w:val="BodyText2"/>
        <w:ind w:start="720" w:end="0"/>
        <w:rPr>
          <w:rFonts w:ascii="Arial" w:hAnsi="Arial" w:cs="Arial"/>
        </w:rPr>
      </w:pPr>
      <w:r>
        <w:rPr>
          <w:rFonts w:cs="Arial" w:ascii="Arial" w:hAnsi="Arial"/>
        </w:rPr>
        <w:t>•</w:t>
      </w:r>
      <w:r>
        <w:rPr>
          <w:rFonts w:cs="Arial" w:ascii="Arial" w:hAnsi="Arial"/>
        </w:rPr>
        <w:t>Reduce time to new launch new products</w:t>
      </w:r>
    </w:p>
    <w:p>
      <w:pPr>
        <w:pStyle w:val="BodyText2"/>
        <w:ind w:start="720" w:end="0"/>
        <w:rPr>
          <w:rFonts w:ascii="Arial" w:hAnsi="Arial" w:cs="Arial"/>
        </w:rPr>
      </w:pPr>
      <w:r>
        <w:rPr>
          <w:rFonts w:cs="Arial" w:ascii="Arial" w:hAnsi="Arial"/>
        </w:rPr>
        <w:t>•</w:t>
      </w:r>
      <w:r>
        <w:rPr>
          <w:rFonts w:cs="Arial" w:ascii="Arial" w:hAnsi="Arial"/>
        </w:rPr>
        <w:t>Reduce channel inventory and increase inventory turns</w:t>
      </w:r>
    </w:p>
    <w:p>
      <w:pPr>
        <w:pStyle w:val="BodyText2"/>
        <w:ind w:start="720" w:end="0"/>
        <w:rPr>
          <w:rFonts w:ascii="Arial" w:hAnsi="Arial" w:cs="Arial"/>
        </w:rPr>
      </w:pPr>
      <w:r>
        <w:rPr>
          <w:rFonts w:cs="Arial" w:ascii="Arial" w:hAnsi="Arial"/>
        </w:rPr>
        <w:t>•</w:t>
      </w:r>
      <w:r>
        <w:rPr>
          <w:rFonts w:cs="Arial" w:ascii="Arial" w:hAnsi="Arial"/>
        </w:rPr>
        <w:t>Reduce marketing costs</w:t>
      </w:r>
    </w:p>
    <w:p>
      <w:pPr>
        <w:pStyle w:val="BodyText2"/>
        <w:ind w:start="720" w:end="0"/>
        <w:rPr>
          <w:rFonts w:ascii="Arial" w:hAnsi="Arial" w:cs="Arial"/>
        </w:rPr>
      </w:pPr>
      <w:r>
        <w:rPr>
          <w:rFonts w:cs="Arial" w:ascii="Arial" w:hAnsi="Arial"/>
        </w:rPr>
        <w:t>•</w:t>
      </w:r>
      <w:r>
        <w:rPr>
          <w:rFonts w:cs="Arial" w:ascii="Arial" w:hAnsi="Arial"/>
        </w:rPr>
        <w:t>Reduce warranty costs</w:t>
      </w:r>
    </w:p>
    <w:p>
      <w:pPr>
        <w:pStyle w:val="BodyText2"/>
        <w:ind w:start="720" w:end="0"/>
        <w:rPr>
          <w:rFonts w:ascii="Arial" w:hAnsi="Arial" w:cs="Arial"/>
        </w:rPr>
      </w:pPr>
      <w:r>
        <w:rPr>
          <w:rFonts w:cs="Arial" w:ascii="Arial" w:hAnsi="Arial"/>
        </w:rPr>
        <w:t>•</w:t>
      </w:r>
      <w:r>
        <w:rPr>
          <w:rFonts w:cs="Arial" w:ascii="Arial" w:hAnsi="Arial"/>
        </w:rPr>
        <w:t>Improve planning, forecasting and decision-making</w:t>
      </w:r>
    </w:p>
    <w:p>
      <w:pPr>
        <w:pStyle w:val="BodyText2"/>
        <w:ind w:start="720" w:end="0"/>
        <w:rPr>
          <w:rFonts w:ascii="Arial" w:hAnsi="Arial" w:cs="Arial"/>
        </w:rPr>
      </w:pPr>
      <w:r>
        <w:rPr>
          <w:rFonts w:cs="Arial" w:ascii="Arial" w:hAnsi="Arial"/>
        </w:rPr>
        <w:t>•</w:t>
      </w:r>
      <w:r>
        <w:rPr>
          <w:rFonts w:cs="Arial" w:ascii="Arial" w:hAnsi="Arial"/>
        </w:rPr>
        <w:t>Rapid implementation (60-90 days)</w:t>
      </w:r>
    </w:p>
    <w:p>
      <w:pPr>
        <w:pStyle w:val="BodyText2"/>
        <w:ind w:start="720" w:end="0"/>
        <w:rPr>
          <w:rFonts w:ascii="Arial" w:hAnsi="Arial" w:cs="Arial"/>
        </w:rPr>
      </w:pPr>
      <w:r>
        <w:rPr>
          <w:rFonts w:cs="Arial" w:ascii="Arial" w:hAnsi="Arial"/>
        </w:rPr>
        <w:t>•</w:t>
      </w:r>
      <w:r>
        <w:rPr>
          <w:rFonts w:cs="Arial" w:ascii="Arial" w:hAnsi="Arial"/>
        </w:rPr>
        <w:t>Low cost hosted services/pay as you go models</w:t>
      </w:r>
    </w:p>
    <w:p>
      <w:pPr>
        <w:pStyle w:val="BodyText2"/>
        <w:rPr>
          <w:rFonts w:ascii="Arial" w:hAnsi="Arial" w:cs="Arial"/>
          <w:b/>
          <w:bCs/>
          <w:u w:val="single"/>
        </w:rPr>
      </w:pPr>
      <w:r>
        <w:rPr>
          <w:rFonts w:cs="Arial" w:ascii="Arial" w:hAnsi="Arial"/>
          <w:b/>
          <w:bCs/>
          <w:u w:val="single"/>
        </w:rPr>
      </w:r>
    </w:p>
    <w:p>
      <w:pPr>
        <w:pStyle w:val="BodyText2"/>
        <w:rPr>
          <w:rFonts w:ascii="Arial" w:hAnsi="Arial" w:cs="Arial"/>
          <w:b/>
          <w:bCs/>
          <w:u w:val="single"/>
        </w:rPr>
      </w:pPr>
      <w:r>
        <w:rPr>
          <w:rFonts w:cs="Arial" w:ascii="Arial" w:hAnsi="Arial"/>
          <w:b/>
          <w:bCs/>
          <w:u w:val="single"/>
        </w:rPr>
        <w:t>Tavant Rapid Time to Value Deployment Methodology</w:t>
      </w:r>
    </w:p>
    <w:p>
      <w:pPr>
        <w:pStyle w:val="BodyText2"/>
        <w:rPr>
          <w:rFonts w:ascii="Arial" w:hAnsi="Arial" w:cs="Arial"/>
        </w:rPr>
      </w:pPr>
      <w:r>
        <w:rPr>
          <w:rFonts w:cs="Arial" w:ascii="Arial" w:hAnsi="Arial"/>
        </w:rPr>
        <w:t>Tavant’s deployment and activation teams are resultants and not consultants.  They are trained to focus in on key pain points and target a 60-90 day deployment of the solution.  In addition, Tavant’s highly configurable SIMTA (Single Instance Multi-Tenant Architecture) enables us to offer our products as a hosted and managed service. Our customers avoid huge upfront investments in hardware, system software and maintenance personnel and minimize risk using the ‘pay as you go’ software service model.</w:t>
      </w:r>
    </w:p>
    <w:p>
      <w:pPr>
        <w:pStyle w:val="BodyText2"/>
        <w:rPr>
          <w:rFonts w:ascii="Arial" w:hAnsi="Arial" w:cs="Arial"/>
        </w:rPr>
      </w:pPr>
      <w:r>
        <w:rPr>
          <w:rFonts w:cs="Arial" w:ascii="Arial" w:hAnsi="Arial"/>
        </w:rPr>
      </w:r>
    </w:p>
    <w:p>
      <w:pPr>
        <w:pStyle w:val="BodyText2"/>
        <w:rPr>
          <w:rFonts w:ascii="Arial" w:hAnsi="Arial" w:cs="Arial"/>
          <w:b/>
          <w:bCs/>
          <w:u w:val="single"/>
        </w:rPr>
      </w:pPr>
      <w:r>
        <w:rPr>
          <w:rFonts w:cs="Arial" w:ascii="Arial" w:hAnsi="Arial"/>
          <w:b/>
          <w:bCs/>
          <w:u w:val="single"/>
        </w:rPr>
        <w:t>Tavant Values</w:t>
      </w:r>
    </w:p>
    <w:p>
      <w:pPr>
        <w:pStyle w:val="BodyText2"/>
        <w:rPr>
          <w:rFonts w:ascii="Arial" w:hAnsi="Arial" w:cs="Arial"/>
        </w:rPr>
      </w:pPr>
      <w:r>
        <w:rPr>
          <w:rFonts w:cs="Arial" w:ascii="Arial" w:hAnsi="Arial"/>
        </w:rPr>
        <w:t>Tavant prides itself in having created a company culture that obsesses with customer success, engaging the best people, continuous innovation, frugal &amp; focused spending and a bias towards action.</w:t>
      </w:r>
    </w:p>
    <w:p>
      <w:pPr>
        <w:pStyle w:val="BodyText2"/>
        <w:rPr>
          <w:rFonts w:ascii="Arial" w:hAnsi="Arial" w:cs="Arial"/>
          <w:b/>
          <w:bCs/>
          <w:u w:val="single"/>
        </w:rPr>
      </w:pPr>
      <w:r>
        <w:rPr>
          <w:rFonts w:cs="Arial" w:ascii="Arial" w:hAnsi="Arial"/>
          <w:b/>
          <w:bCs/>
          <w:u w:val="single"/>
        </w:rPr>
      </w:r>
    </w:p>
    <w:p>
      <w:pPr>
        <w:pStyle w:val="BodyText2"/>
        <w:rPr>
          <w:rFonts w:ascii="Arial" w:hAnsi="Arial" w:cs="Arial"/>
          <w:b/>
          <w:bCs/>
          <w:u w:val="single"/>
        </w:rPr>
      </w:pPr>
      <w:r>
        <w:rPr>
          <w:rFonts w:cs="Arial" w:ascii="Arial" w:hAnsi="Arial"/>
          <w:b/>
          <w:bCs/>
          <w:u w:val="single"/>
        </w:rPr>
        <w:t>Customers</w:t>
      </w:r>
    </w:p>
    <w:p>
      <w:pPr>
        <w:pStyle w:val="BodyText2"/>
        <w:rPr>
          <w:rFonts w:ascii="Arial" w:hAnsi="Arial" w:cs="Arial"/>
          <w:szCs w:val="20"/>
        </w:rPr>
      </w:pPr>
      <w:r>
        <w:rPr>
          <w:rFonts w:cs="Arial" w:ascii="Arial" w:hAnsi="Arial"/>
          <w:szCs w:val="20"/>
        </w:rPr>
        <w:t>Tavant is powering the channels of several manufacturers and brand owners across a broad cross section of industries - a testimony to its configurability and flexibility.  Tavant’s customers include Bobcat Company, Ingersoll Rand, Club Car, ABG Germany, CAP UK, Schlage, ISO Turbo, Blaw-Knox and IRFS.</w:t>
      </w:r>
    </w:p>
    <w:p>
      <w:pPr>
        <w:pStyle w:val="BodyText2"/>
        <w:rPr>
          <w:rFonts w:ascii="Arial" w:hAnsi="Arial" w:cs="Arial"/>
          <w:b/>
          <w:bCs/>
          <w:smallCaps/>
          <w:szCs w:val="20"/>
          <w:u w:val="single"/>
        </w:rPr>
      </w:pPr>
      <w:r>
        <w:rPr>
          <w:rFonts w:cs="Arial" w:ascii="Arial" w:hAnsi="Arial"/>
          <w:b/>
          <w:bCs/>
          <w:smallCaps/>
          <w:szCs w:val="20"/>
          <w:u w:val="single"/>
        </w:rPr>
      </w:r>
    </w:p>
    <w:p>
      <w:pPr>
        <w:pStyle w:val="BodyText2"/>
        <w:rPr>
          <w:rFonts w:ascii="Arial" w:hAnsi="Arial" w:cs="Arial"/>
          <w:b/>
          <w:bCs/>
          <w:u w:val="single"/>
        </w:rPr>
      </w:pPr>
      <w:r>
        <w:rPr>
          <w:rFonts w:cs="Arial" w:ascii="Arial" w:hAnsi="Arial"/>
          <w:b/>
          <w:bCs/>
          <w:u w:val="single"/>
        </w:rPr>
        <w:t>Management</w:t>
      </w:r>
    </w:p>
    <w:p>
      <w:pPr>
        <w:pStyle w:val="BodyText2"/>
        <w:rPr/>
      </w:pPr>
      <w:r>
        <w:rPr>
          <w:rFonts w:cs="Arial" w:ascii="Arial" w:hAnsi="Arial"/>
        </w:rPr>
        <w:t xml:space="preserve">Tavant has a stellar business and engineering team with extensive experience in building companies and enterprise systems. Team has experience at companies like HP, IBM, Sun, Oracle, Sybase, e-bay, Altera, Homestore, Lockheed Martin and Amazon. Several members have PhDs in this field with extensive publications in international journals – including a feature on the cover of </w:t>
      </w:r>
      <w:r>
        <w:rPr>
          <w:rFonts w:cs="Arial" w:ascii="Arial" w:hAnsi="Arial"/>
          <w:u w:val="single"/>
        </w:rPr>
        <w:t>BusinessWeek</w:t>
      </w:r>
      <w:r>
        <w:rPr>
          <w:rFonts w:cs="Arial" w:ascii="Arial" w:hAnsi="Arial"/>
        </w:rPr>
        <w:t>.</w:t>
      </w:r>
    </w:p>
    <w:p>
      <w:pPr>
        <w:pStyle w:val="BodyText2"/>
        <w:rPr>
          <w:rFonts w:ascii="Arial" w:hAnsi="Arial" w:cs="Arial"/>
        </w:rPr>
      </w:pPr>
      <w:r>
        <w:rPr>
          <w:rFonts w:cs="Arial" w:ascii="Arial" w:hAnsi="Arial"/>
        </w:rPr>
      </w:r>
    </w:p>
    <w:p>
      <w:pPr>
        <w:pStyle w:val="BodyText2"/>
        <w:rPr>
          <w:rFonts w:ascii="Arial" w:hAnsi="Arial" w:cs="Arial"/>
          <w:b/>
          <w:bCs/>
          <w:u w:val="single"/>
        </w:rPr>
      </w:pPr>
      <w:r>
        <w:rPr>
          <w:rFonts w:cs="Arial" w:ascii="Arial" w:hAnsi="Arial"/>
          <w:b/>
          <w:bCs/>
          <w:u w:val="single"/>
        </w:rPr>
      </w:r>
    </w:p>
    <w:p>
      <w:pPr>
        <w:pStyle w:val="BodyText2"/>
        <w:rPr>
          <w:rFonts w:ascii="Arial" w:hAnsi="Arial" w:cs="Arial"/>
          <w:b/>
          <w:bCs/>
          <w:u w:val="single"/>
        </w:rPr>
      </w:pPr>
      <w:r>
        <w:rPr>
          <w:rFonts w:cs="Arial" w:ascii="Arial" w:hAnsi="Arial"/>
          <w:b/>
          <w:bCs/>
          <w:u w:val="single"/>
        </w:rPr>
        <w:t>Contact Tavant</w:t>
      </w:r>
    </w:p>
    <w:p>
      <w:pPr>
        <w:pStyle w:val="InsideAddress"/>
        <w:ind w:start="0" w:end="-360"/>
        <w:rPr/>
      </w:pPr>
      <w:r>
        <w:rPr>
          <w:rFonts w:cs="Arial" w:ascii="Arial" w:hAnsi="Arial"/>
        </w:rPr>
        <w:t xml:space="preserve">To learn more about Tavant’s industry leading collaborative commerce platform and sell-side/channel management applications, call Mike Singh (888) 393-7464 email </w:t>
      </w:r>
      <w:hyperlink r:id="rId2">
        <w:r>
          <w:rPr>
            <w:rStyle w:val="Hyperlink"/>
            <w:rFonts w:cs="Arial" w:ascii="Arial" w:hAnsi="Arial"/>
          </w:rPr>
          <w:t>mike.singh@Tavant.com</w:t>
        </w:r>
      </w:hyperlink>
      <w:r>
        <w:rPr>
          <w:rFonts w:cs="Arial" w:ascii="Arial" w:hAnsi="Arial"/>
        </w:rPr>
        <w:t>.</w:t>
      </w:r>
    </w:p>
    <w:p>
      <w:pPr>
        <w:pStyle w:val="InsideAddress"/>
        <w:rPr>
          <w:rFonts w:ascii="Arial" w:hAnsi="Arial" w:cs="Arial"/>
        </w:rPr>
      </w:pPr>
      <w:r>
        <w:rPr>
          <w:rFonts w:cs="Arial" w:ascii="Arial" w:hAnsi="Arial"/>
        </w:rPr>
      </w:r>
    </w:p>
    <w:p>
      <w:pPr>
        <w:pStyle w:val="InsideAddress"/>
        <w:ind w:start="0" w:end="-360"/>
        <w:rPr>
          <w:rFonts w:ascii="Arial" w:hAnsi="Arial" w:cs="Arial"/>
        </w:rPr>
      </w:pPr>
      <w:r>
        <w:rPr>
          <w:rFonts w:cs="Arial" w:ascii="Arial" w:hAnsi="Arial"/>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oudy Old Style">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rPr>
    </w:pPr>
    <w:r>
      <w:rPr>
        <w:i/>
        <w:iCs/>
      </w:rPr>
      <w:t>“</w:t>
    </w:r>
    <w:r>
      <w:rPr>
        <w:i/>
        <w:iCs/>
      </w:rPr>
      <w:t>Driving Profits Through Channel Collaboration”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172835" cy="624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 t="-20" r="-2" b="-20"/>
                  <a:stretch>
                    <a:fillRect/>
                  </a:stretch>
                </pic:blipFill>
                <pic:spPr bwMode="auto">
                  <a:xfrm>
                    <a:off x="0" y="0"/>
                    <a:ext cx="6172835" cy="6248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6"/>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jc w:val="center"/>
      <w:outlineLvl w:val="2"/>
    </w:pPr>
    <w:rPr>
      <w:b/>
      <w:bCs/>
      <w:color w:val="000000"/>
      <w:sz w:val="20"/>
      <w:szCs w:val="36"/>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720"/>
        <w:tab w:val="left" w:pos="5757" w:leader="none"/>
      </w:tabs>
      <w:jc w:val="center"/>
    </w:pPr>
    <w:rPr>
      <w:b/>
      <w:bCs/>
      <w:smallCaps/>
      <w:u w:val="single"/>
    </w:rPr>
  </w:style>
  <w:style w:type="paragraph" w:styleId="BodyText">
    <w:name w:val="Body Text"/>
    <w:basedOn w:val="Normal"/>
    <w:pPr/>
    <w:rPr>
      <w:rFonts w:ascii="Goudy Old Style" w:hAnsi="Goudy Old Style" w:cs="Goudy Old Style"/>
      <w:sz w:val="22"/>
      <w:szCs w:val="20"/>
    </w:rPr>
  </w:style>
  <w:style w:type="paragraph" w:styleId="List">
    <w:name w:val="List"/>
    <w:basedOn w:val="BodyText"/>
    <w:pPr/>
    <w:rPr>
      <w:rFonts w:cs="NotoSans NF"/>
    </w:rPr>
  </w:style>
  <w:style w:type="paragraph" w:styleId="Caption">
    <w:name w:val="caption"/>
    <w:basedOn w:val="Normal"/>
    <w:next w:val="Normal"/>
    <w:qFormat/>
    <w:pPr>
      <w:spacing w:before="100" w:after="100"/>
    </w:pPr>
    <w:rPr>
      <w:rFonts w:ascii="Garamond" w:hAnsi="Garamond" w:cs="Garamond"/>
      <w:b/>
      <w:bCs/>
      <w:smallCaps/>
      <w:sz w:val="20"/>
      <w:u w:val="single"/>
    </w:rPr>
  </w:style>
  <w:style w:type="paragraph" w:styleId="Index">
    <w:name w:val="Index"/>
    <w:basedOn w:val="Normal"/>
    <w:qFormat/>
    <w:pPr>
      <w:suppressLineNumbers/>
    </w:pPr>
    <w:rPr>
      <w:rFonts w:cs="NotoSans NF"/>
    </w:rPr>
  </w:style>
  <w:style w:type="paragraph" w:styleId="BodyText2">
    <w:name w:val="Body Text 2"/>
    <w:basedOn w:val="Normal"/>
    <w:qFormat/>
    <w:pPr/>
    <w:rPr>
      <w:sz w:val="20"/>
    </w:rPr>
  </w:style>
  <w:style w:type="paragraph" w:styleId="BodyText3">
    <w:name w:val="Body Text 3"/>
    <w:basedOn w:val="Normal"/>
    <w:qFormat/>
    <w:pPr>
      <w:jc w:val="both"/>
    </w:pPr>
    <w:rPr>
      <w:rFonts w:ascii="Garamond" w:hAnsi="Garamond" w:cs="Garamond"/>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InsideAddress">
    <w:name w:val="Inside Address"/>
    <w:basedOn w:val="Normal"/>
    <w:qFormat/>
    <w:pPr>
      <w:ind w:hanging="0" w:start="835" w:end="-360"/>
    </w:pPr>
    <w:rPr>
      <w:sz w:val="20"/>
      <w:szCs w:val="20"/>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ke.singh@Tavant.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2001-09-29T22:19:00Z</dcterms:created>
  <dc:creator>Preferred Customer</dc:creator>
  <dc:description/>
  <dc:language>en-CA</dc:language>
  <cp:lastModifiedBy>SM</cp:lastModifiedBy>
  <dcterms:modified xsi:type="dcterms:W3CDTF">2001-09-30T11:19:00Z</dcterms:modified>
  <cp:revision>4</cp:revision>
  <dc:subject/>
  <dc:title>The Hype is Over, Let’s Get Back to Basics…</dc:title>
</cp:coreProperties>
</file>