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 NEW DISTRIBUTION REGULATORY FRAMEWORK</w:t>
      </w:r>
    </w:p>
    <w:p>
      <w:pPr>
        <w:pStyle w:val="Normal"/>
        <w:jc w:val="center"/>
        <w:rPr>
          <w:sz w:val="24"/>
        </w:rPr>
      </w:pPr>
      <w:r>
        <w:rPr>
          <w:sz w:val="24"/>
        </w:rPr>
      </w:r>
    </w:p>
    <w:p>
      <w:pPr>
        <w:pStyle w:val="Normal"/>
        <w:jc w:val="center"/>
        <w:rPr>
          <w:sz w:val="24"/>
        </w:rPr>
      </w:pPr>
      <w:r>
        <w:rPr>
          <w:sz w:val="24"/>
        </w:rPr>
      </w:r>
    </w:p>
    <w:p>
      <w:pPr>
        <w:pStyle w:val="BodyText"/>
        <w:ind w:firstLine="720" w:end="0"/>
        <w:rPr>
          <w:sz w:val="24"/>
        </w:rPr>
      </w:pPr>
      <w:r>
        <w:rPr>
          <w:sz w:val="24"/>
        </w:rPr>
        <w:t>What if electric distribution utilities could become the drivers of new distribution technology and the innovators behind the adoption of energy management and efficiency by all segments of the value chain?  What if electric distribution utilities sought the lowest cost, most efficient way to accomplish a result because that was both the most profitable as well as the most sustainable?  What if we got the results we wanted from our electric distribution utilities not through the back door, by regulating their profitability, but directly and up front, the same way that commercial parties bargain for the values they want?  What if we could banish the words ratepayer, rate base, cost, disallowance and prudence from our vocabulary and replace them with customer, value, and sustainable business concept?  And what if the best and the brightest came to work in utility distribution companies because, at those companies, you could have commercial success at making a meaningful contribution to your community?</w:t>
      </w:r>
    </w:p>
    <w:p>
      <w:pPr>
        <w:pStyle w:val="BodyText"/>
        <w:ind w:firstLine="720" w:end="0"/>
        <w:rPr>
          <w:sz w:val="24"/>
        </w:rPr>
      </w:pPr>
      <w:r>
        <w:rPr>
          <w:sz w:val="24"/>
        </w:rPr>
        <w:t>If it is possible to ask “what if?” then it is worthwhile to ask “why not?”  Some would reason that, in the midst of utility industry restructuring, our attention must center on issues of generation, transmission, and the transition to a competitive retail energy services market.  With many issues, and billions, at stake in the stranded cost debate, why spend time on issues related to the distribution of electricity?  The reasons are actually quite simple.  If we do not, one of two circumstances will come to pass: we will get too much – gold-plated – distribution investment; or we will get too little – unreliable and poor quality – distribution investment.  And either outcome will diminish, if not erase, the efficiency and innovation we hope to gain from restructuring.</w:t>
      </w:r>
    </w:p>
    <w:p>
      <w:pPr>
        <w:pStyle w:val="BodyText"/>
        <w:ind w:firstLine="720" w:end="0"/>
        <w:rPr>
          <w:sz w:val="24"/>
        </w:rPr>
      </w:pPr>
      <w:r>
        <w:rPr>
          <w:sz w:val="24"/>
        </w:rPr>
        <w:t>At the moment, the evidence points toward too little distribution investment as the more likely.  The last few years have seen several notable distribution system failures and progressively lower allowed returns on equity for distribution as parties argue, and commissions find that, the “risk” is lower.</w:t>
      </w:r>
      <w:r>
        <w:rPr>
          <w:rStyle w:val="FootnoteCharacters"/>
          <w:rStyle w:val="FootnoteReference"/>
          <w:sz w:val="24"/>
        </w:rPr>
        <w:footnoteReference w:id="2"/>
      </w:r>
      <w:r>
        <w:rPr>
          <w:sz w:val="24"/>
        </w:rPr>
        <w:t xml:space="preserve">  Distribution expenses were the first to fall but distribution investment has lagged as well.  Industry literature is replete with articles suggesting that utilities seek investments other than distribution and outside of regulation to earn a higher return on the cash produced by their operations or generation asset sales or both.  For a few utilities, the income from non-regulated affiliates is approaching that produced by the regulated business and some are suggesting that utilities isolate the stock of the distribution business so that it does not artificially depress that of the utility’s growth businesses.  These events and the advice bode poorly for significant new investment in distribution.</w:t>
      </w:r>
      <w:r>
        <w:rPr>
          <w:rStyle w:val="FootnoteCharacters"/>
          <w:rStyle w:val="FootnoteReference"/>
          <w:sz w:val="24"/>
        </w:rPr>
        <w:footnoteReference w:id="3"/>
      </w:r>
    </w:p>
    <w:p>
      <w:pPr>
        <w:pStyle w:val="BodyText"/>
        <w:ind w:firstLine="720" w:end="0"/>
        <w:rPr>
          <w:sz w:val="24"/>
        </w:rPr>
      </w:pPr>
      <w:r>
        <w:rPr>
          <w:sz w:val="24"/>
        </w:rPr>
        <w:t xml:space="preserve">Addressing this situation, however, by increasing the attractiveness of returns for distribution pushes the pendulum too far the other way.  While few agree when distributed generation will begin to displace the grid, no one argues that, eventually, it will take its place, particularly in niche applications.  Nor should anyone assume we know much about the future in this age when new product and service launches happen at the speed of thought.  </w:t>
      </w:r>
    </w:p>
    <w:p>
      <w:pPr>
        <w:pStyle w:val="BodyText"/>
        <w:ind w:firstLine="720" w:end="0"/>
        <w:rPr>
          <w:sz w:val="24"/>
        </w:rPr>
      </w:pPr>
      <w:r>
        <w:rPr>
          <w:sz w:val="24"/>
        </w:rPr>
        <w:t xml:space="preserve">These issues must become central or we will fail the future in the pursuit of fixing the past.  Because we already are changing how utilities provide power supply services, it is but a small step further to include distribution services in the mix.  Failure to take this step could not only deprive us of benefits beyond those that competitive supply services will bring, but also could negate some of those supply-related benefits.  Because customers obtain value only from delivered electricity, and assess the value of that electricity against the combined cost of supply and distribution, fixing only the efficiency of the supply component will constrain the innovation they receive from suppliers.   </w:t>
      </w:r>
    </w:p>
    <w:p>
      <w:pPr>
        <w:pStyle w:val="BodyText"/>
        <w:ind w:firstLine="720" w:end="0"/>
        <w:rPr/>
      </w:pPr>
      <w:r>
        <w:rPr>
          <w:sz w:val="24"/>
        </w:rPr>
        <w:t>It is indeed the best, not the worst, time to ask ourselves what we want from this part of the electric industry that we plan to have remain a monopoly.</w:t>
      </w:r>
      <w:r>
        <w:rPr>
          <w:rStyle w:val="FootnoteCharacters"/>
          <w:rStyle w:val="FootnoteReference"/>
          <w:sz w:val="24"/>
        </w:rPr>
        <w:footnoteReference w:id="4"/>
      </w:r>
      <w:r>
        <w:rPr>
          <w:sz w:val="24"/>
        </w:rPr>
        <w:t xml:space="preserve">  And at the heart of the answer is how we plan to regulate it.  The regulatory system of the last 100 years performed its purposes admirably, driving the finance, construction, maintenance, and operation of the finest electrical system in the world.</w:t>
      </w:r>
      <w:r>
        <w:rPr>
          <w:rStyle w:val="FootnoteCharacters"/>
          <w:rStyle w:val="FootnoteReference"/>
          <w:sz w:val="24"/>
        </w:rPr>
        <w:footnoteReference w:id="5"/>
      </w:r>
      <w:r>
        <w:rPr>
          <w:sz w:val="24"/>
        </w:rPr>
        <w:t xml:space="preserve">  But systems are only as useful as their purposes and we have largely accomplished the purposes of this system:</w:t>
      </w:r>
    </w:p>
    <w:p>
      <w:pPr>
        <w:pStyle w:val="BodyText"/>
        <w:numPr>
          <w:ilvl w:val="0"/>
          <w:numId w:val="2"/>
        </w:numPr>
        <w:rPr>
          <w:sz w:val="24"/>
        </w:rPr>
      </w:pPr>
      <w:r>
        <w:rPr>
          <w:sz w:val="24"/>
        </w:rPr>
        <w:t>the finance of a vast amount of electric generation, transmission, and distribution infrastructure, and</w:t>
      </w:r>
    </w:p>
    <w:p>
      <w:pPr>
        <w:pStyle w:val="BodyText"/>
        <w:numPr>
          <w:ilvl w:val="0"/>
          <w:numId w:val="2"/>
        </w:numPr>
        <w:rPr>
          <w:sz w:val="24"/>
        </w:rPr>
      </w:pPr>
      <w:r>
        <w:rPr>
          <w:sz w:val="24"/>
        </w:rPr>
        <w:t xml:space="preserve">the adoption by a skeptical public of this new source of power to accomplish what they had other means of accomplishing already.  </w:t>
      </w:r>
    </w:p>
    <w:p>
      <w:pPr>
        <w:pStyle w:val="BodyText"/>
        <w:ind w:firstLine="720" w:end="0"/>
        <w:rPr>
          <w:sz w:val="24"/>
        </w:rPr>
      </w:pPr>
      <w:r>
        <w:rPr>
          <w:sz w:val="24"/>
        </w:rPr>
        <w:t>What we now realize from this system are primarily its unintended effects.  With respect to generation, those unintended effects include a bias for investment and an ever-growing rate base, and the desire to depreciate old technology fully before embracing anything new and to embrace the new only when it is so old it no longer presents any risk.   Retail access removes these unintended effects by replacing cost-of-service rates for generation and supply with market-based prices.</w:t>
      </w:r>
    </w:p>
    <w:p>
      <w:pPr>
        <w:pStyle w:val="BodyText"/>
        <w:ind w:firstLine="720" w:end="0"/>
        <w:rPr/>
      </w:pPr>
      <w:r>
        <w:rPr>
          <w:sz w:val="24"/>
        </w:rPr>
        <w:t>The unintended effects of rate of return, cost of service regulation are no less real for distribution.  Stressing the regulatory system are issues of service quality, contradicted at times with charges of gold plating, and acrimonious debates about risk and cost of capital.  We attempt to determine a utility’s potential for reward according to the risks assumed—a dubious endeavor at best— rather than the results achieved.  Cost-based and cost-plus are synonymous with mediocrity and a lack of innovation.</w:t>
      </w:r>
      <w:r>
        <w:rPr>
          <w:rStyle w:val="FootnoteCharacters"/>
          <w:rStyle w:val="FootnoteReference"/>
          <w:sz w:val="24"/>
        </w:rPr>
        <w:footnoteReference w:id="6"/>
      </w:r>
      <w:r>
        <w:rPr>
          <w:sz w:val="24"/>
        </w:rPr>
        <w:t xml:space="preserve">  And we forbid, in reality or practice, utilities from providing interesting services or finding interesting ways to use their human and physical assets, in the name of preventing “cross-subsidization” or “protecting competition.”    </w:t>
      </w:r>
    </w:p>
    <w:p>
      <w:pPr>
        <w:pStyle w:val="BodyText"/>
        <w:ind w:firstLine="720" w:end="0"/>
        <w:rPr/>
      </w:pPr>
      <w:r>
        <w:rPr>
          <w:sz w:val="24"/>
        </w:rPr>
        <w:t>Meanwhile, for the first time in many decades, economic alternatives to the centralized generation and subsequent distribution of electricity have appeared: new ways to light and heat a home or business or to power equipment.  We wonder aloud if least cost distribution planning, with the threat of disallowance for more costly actions taken, might cause utilities to make the right decisions with respect to these new resources, or even with respect to the more traditional options of energy efficiency.</w:t>
      </w:r>
      <w:r>
        <w:rPr>
          <w:rStyle w:val="FootnoteCharacters"/>
          <w:rStyle w:val="FootnoteReference"/>
          <w:sz w:val="24"/>
        </w:rPr>
        <w:footnoteReference w:id="7"/>
      </w:r>
      <w:r>
        <w:rPr>
          <w:sz w:val="24"/>
        </w:rPr>
        <w:t xml:space="preserve">  We re-consider decoupling but wonder why utilities are less than enthusiastic about it when cost of capital witnesses argue that breaking the link between sales and earnings reduces risk and, thus, the allowed return on common equity.  We should, but do not yet, speculate at what time the new alternatives might begin to produce stranded distribution investment.</w:t>
      </w:r>
    </w:p>
    <w:p>
      <w:pPr>
        <w:pStyle w:val="BodyText"/>
        <w:ind w:firstLine="720" w:end="0"/>
        <w:rPr/>
      </w:pPr>
      <w:r>
        <w:rPr>
          <w:sz w:val="24"/>
        </w:rPr>
        <w:t>We stand at a crossroads with respect to the regulation of electric distribution.  We can patch the current regulatory system, add a piece here or there to mask the stresses and hope for the best.  Or we can start over.  At least once every hundred years, we ought to consider starting over.  In this increasingly fluid world, it is aspiration and process that will guide us better than the old formula of purpose and system.</w:t>
      </w:r>
      <w:r>
        <w:rPr>
          <w:rStyle w:val="FootnoteCharacters"/>
          <w:rStyle w:val="FootnoteReference"/>
          <w:sz w:val="24"/>
        </w:rPr>
        <w:footnoteReference w:id="8"/>
      </w:r>
      <w:r>
        <w:rPr>
          <w:sz w:val="24"/>
        </w:rPr>
        <w:t xml:space="preserve">  At this – the start of the next millennium -- we are burdened already with too many systems and structures that have outlived their purposes.  As social, technological, and economic changes come ever more quickly, our institutions, organizations and laws are failing to adapt, and failing period, with ever more speed.    A regulatory system is not immune to this effect and our system of cost-of-service, rate of return regulation is no exception.  To the </w:t>
      </w:r>
      <w:r>
        <w:rPr>
          <w:b/>
          <w:sz w:val="24"/>
        </w:rPr>
        <w:t>what</w:t>
      </w:r>
      <w:r>
        <w:rPr>
          <w:sz w:val="24"/>
        </w:rPr>
        <w:t xml:space="preserve"> – our aspirations – we then add the framework of roles and relationships within which we will take action, check for feedback, adjust if necessary, and then take more action – the </w:t>
      </w:r>
      <w:r>
        <w:rPr>
          <w:b/>
          <w:sz w:val="24"/>
        </w:rPr>
        <w:t>process</w:t>
      </w:r>
      <w:r>
        <w:rPr>
          <w:sz w:val="24"/>
        </w:rPr>
        <w:t>.</w:t>
      </w:r>
    </w:p>
    <w:p>
      <w:pPr>
        <w:pStyle w:val="BodyText"/>
        <w:ind w:firstLine="720" w:end="0"/>
        <w:rPr>
          <w:sz w:val="24"/>
        </w:rPr>
      </w:pPr>
      <w:r>
        <w:rPr>
          <w:sz w:val="24"/>
        </w:rPr>
        <w:t>The sections below follow this method.  I outline an aspiration for how the future might look and a process we might follow to reach it.  I then apply the aspirations and process to a hypothetical utility and regulator to give them more depth than is possible at the conceptual stage, and discuss certain local and large customer options.</w:t>
      </w:r>
    </w:p>
    <w:p>
      <w:pPr>
        <w:pStyle w:val="BodyText"/>
        <w:ind w:firstLine="720" w:end="0"/>
        <w:rPr>
          <w:sz w:val="24"/>
        </w:rPr>
      </w:pPr>
      <w:r>
        <w:rPr>
          <w:sz w:val="24"/>
        </w:rPr>
        <w:t xml:space="preserve">At heart, this is a proposal to replace the current implicit and fuzzy regulatory compact with an explicit and clear regulatory contract.  It is a proposal to move from regulating entities called utilities, to regulating certain services in the same way that commercial parties regulate their conduct – by bargaining for value.  The proposal would allow us to abandon much of the current weight of statute and regulation designed to control the unintended effects of cost of service regulation and focus our energy and relationships on obtaining the results we want.  It is designed, for better or for worse, to guide us through the upcoming years of change.  </w:t>
      </w:r>
    </w:p>
    <w:p>
      <w:pPr>
        <w:pStyle w:val="Heading1"/>
        <w:ind w:hanging="0" w:start="0"/>
        <w:rPr>
          <w:sz w:val="24"/>
        </w:rPr>
      </w:pPr>
      <w:r>
        <w:rPr>
          <w:sz w:val="24"/>
        </w:rPr>
        <w:t>Section I - An Aspiration</w:t>
      </w:r>
    </w:p>
    <w:p>
      <w:pPr>
        <w:pStyle w:val="Heading2"/>
        <w:ind w:firstLine="720" w:start="0" w:end="0"/>
        <w:rPr>
          <w:b w:val="false"/>
          <w:sz w:val="24"/>
        </w:rPr>
      </w:pPr>
      <w:r>
        <w:rPr>
          <w:b w:val="false"/>
          <w:sz w:val="24"/>
        </w:rPr>
        <w:t xml:space="preserve">The following aspirations talk in terms of utilities.  I do not differentiate between private or public utilities and, by use of the term, do not mean to exclude others who might participate in the described future.  What will be clear is that the utilities below have significant freedoms and risks not present today, including the freedom to fail and the risk of entrepreneurial reward.  </w:t>
      </w:r>
    </w:p>
    <w:p>
      <w:pPr>
        <w:pStyle w:val="Heading2"/>
        <w:ind w:hanging="0" w:start="0"/>
        <w:rPr>
          <w:sz w:val="24"/>
        </w:rPr>
      </w:pPr>
      <w:r>
        <w:rPr>
          <w:sz w:val="24"/>
        </w:rPr>
        <w:t>Results are what matter and rewards follow results</w:t>
      </w:r>
    </w:p>
    <w:p>
      <w:pPr>
        <w:pStyle w:val="FootnoteText"/>
        <w:spacing w:lineRule="auto" w:line="480"/>
        <w:ind w:firstLine="720" w:end="0"/>
        <w:jc w:val="both"/>
        <w:rPr/>
      </w:pPr>
      <w:r>
        <w:rPr>
          <w:sz w:val="24"/>
        </w:rPr>
        <w:t xml:space="preserve">Utility earnings are not a function of an allowed rate of return applied to an invested rate base.  Instead, utilities earn, grow as organizations, and increase their value by increasing the number of customers to whom they provide the same result or service (such as electric distribution service) or by increasing the number of results or services they provide to the same people.  We pay utilities for services to drive the desired results, which are </w:t>
      </w:r>
      <w:r>
        <w:rPr>
          <w:sz w:val="24"/>
          <w:u w:val="single"/>
        </w:rPr>
        <w:t>not</w:t>
      </w:r>
      <w:r>
        <w:rPr>
          <w:sz w:val="24"/>
        </w:rPr>
        <w:t xml:space="preserve"> higher kWh sales, and cause measurement of what we want measured. Utilities have historically performed most of their component services for themselves, shunning outsourcing as something that simply limited their ability to manage costs in and outside of the regulatory formula.  The ability of outsourcing to deliver results for predictable costs will become valuable once we regulate utilities on results and give them means of financial reward other than beating the rate case estimate of what a given activity would cost.</w:t>
      </w:r>
    </w:p>
    <w:p>
      <w:pPr>
        <w:pStyle w:val="Normal"/>
        <w:spacing w:lineRule="auto" w:line="480"/>
        <w:ind w:firstLine="720" w:end="0"/>
        <w:jc w:val="both"/>
        <w:rPr>
          <w:sz w:val="24"/>
        </w:rPr>
      </w:pPr>
      <w:r>
        <w:rPr>
          <w:sz w:val="24"/>
        </w:rPr>
        <w:t>Utilities replace or add to the electric distribution network, or cause others to take actions outside the boundaries of that network, according to the results they have committed to achieve, using the lowest cost means available, whether that be capital or expense, theirs or another’s.  For example, if distributed generation solves a service quality problem or provides needed capacity at the right location for the lowest cost, the utility deploys it or causes someone else to do so through value-creating offers.    Similarly, energy efficiency serves as a means to achieve the same results at a lower cost or more results at the same cost.</w:t>
      </w:r>
    </w:p>
    <w:p>
      <w:pPr>
        <w:pStyle w:val="Heading2"/>
        <w:ind w:hanging="0" w:start="0"/>
        <w:rPr>
          <w:sz w:val="24"/>
        </w:rPr>
      </w:pPr>
      <w:r>
        <w:rPr>
          <w:sz w:val="24"/>
        </w:rPr>
        <w:t>There are only customers</w:t>
      </w:r>
    </w:p>
    <w:p>
      <w:pPr>
        <w:pStyle w:val="BodyText"/>
        <w:ind w:firstLine="720" w:end="0"/>
        <w:rPr/>
      </w:pPr>
      <w:r>
        <w:rPr>
          <w:sz w:val="24"/>
        </w:rPr>
        <w:t>Some customers receive electricity distribution services under arrangements negotiated and managed for them by others, such as a government entity.</w:t>
      </w:r>
      <w:r>
        <w:rPr>
          <w:rStyle w:val="FootnoteCharacters"/>
          <w:rStyle w:val="FootnoteReference"/>
          <w:sz w:val="24"/>
        </w:rPr>
        <w:footnoteReference w:id="9"/>
      </w:r>
      <w:r>
        <w:rPr>
          <w:sz w:val="24"/>
        </w:rPr>
        <w:t xml:space="preserve">  For these customers, the transaction costs of individual negotiations for electricity distribution exceed the value obtainable thereby because most desire a similar service, provided by similar, and individually indistinguishable, means.  This may not be true of other results or services the utility offers these customers.  Other customers negotiate and manage their own electricity distribution services because the results, the means, or both differ sufficiently that the value of individual arrangements can outweigh the cost of obtaining them.</w:t>
      </w:r>
      <w:r>
        <w:rPr>
          <w:rStyle w:val="FootnoteCharacters"/>
          <w:rStyle w:val="FootnoteReference"/>
          <w:sz w:val="24"/>
        </w:rPr>
        <w:footnoteReference w:id="10"/>
      </w:r>
      <w:r>
        <w:rPr>
          <w:sz w:val="24"/>
        </w:rPr>
        <w:t xml:space="preserve">  In other words, discrimination exists because differentiation produces value.  And regardless whether the results are managed collectively or individually, the service relationship aligns success and persists only as long as it produces value on both sides: to the customers and to the utility.   </w:t>
      </w:r>
    </w:p>
    <w:p>
      <w:pPr>
        <w:pStyle w:val="Normal"/>
        <w:spacing w:lineRule="auto" w:line="480"/>
        <w:jc w:val="both"/>
        <w:rPr>
          <w:sz w:val="24"/>
        </w:rPr>
      </w:pPr>
      <w:r>
        <w:rPr>
          <w:b/>
          <w:sz w:val="24"/>
        </w:rPr>
        <w:t>Innovative people drive innovation</w:t>
      </w:r>
    </w:p>
    <w:p>
      <w:pPr>
        <w:pStyle w:val="FootnoteText"/>
        <w:spacing w:lineRule="auto" w:line="480"/>
        <w:ind w:firstLine="720" w:end="0"/>
        <w:jc w:val="both"/>
        <w:rPr>
          <w:sz w:val="24"/>
        </w:rPr>
      </w:pPr>
      <w:r>
        <w:rPr>
          <w:sz w:val="24"/>
        </w:rPr>
        <w:t xml:space="preserve">Utilities seek to maximize the value of any action, information, or asset deployed to produce results.  In modern economic theory, it is neither earnings nor assets that matter to shareholders of a company: it is their relationship.  Following the old maxim that less is more, the fewer assets a company must deploy to produce a given amount of cash, the better.  There is remarkable alignment here with the goals of customers, including their values of moving toward sustainability in how we interact with the environment.  And it is the knowledge worker and application of intellectual capital that make achieving the alignment possible.  Unfortunately, one of the many things our current cost-of-service regulatory system does not reward, at least not explicitly, is intellectual capital.  </w:t>
      </w:r>
    </w:p>
    <w:p>
      <w:pPr>
        <w:pStyle w:val="FootnoteText"/>
        <w:spacing w:lineRule="auto" w:line="480"/>
        <w:ind w:firstLine="720" w:end="0"/>
        <w:jc w:val="both"/>
        <w:rPr>
          <w:sz w:val="24"/>
        </w:rPr>
      </w:pPr>
      <w:r>
        <w:rPr>
          <w:sz w:val="24"/>
        </w:rPr>
        <w:t>The drive to create more from less causes the sharing of actions, information, and assets across infrastructures, such as natural gas, telecommunications, and water, and across services, regardless of ownership.  Utilities also freely share information about their network, their services, and their results to enhance the value customers receive, regardless whether the utility provides all of the components of that value. One of the phenomena driving getting more for less out of the new economy is falling transaction costs.  With the Internet, and the exploding number of software applications, it is possible to share more useful information with more people to enable unpredictable and valuable actions to happen.  Unless we change the regulatory framework, however, it is unlikely utilities will fully participate in this because the regulatory system does not reward sharing.  It rewards only what the utility itself does and what that activity costs.</w:t>
      </w:r>
    </w:p>
    <w:p>
      <w:pPr>
        <w:pStyle w:val="Normal"/>
        <w:spacing w:lineRule="auto" w:line="480"/>
        <w:ind w:firstLine="720" w:end="0"/>
        <w:jc w:val="both"/>
        <w:rPr>
          <w:sz w:val="24"/>
        </w:rPr>
      </w:pPr>
      <w:r>
        <w:rPr>
          <w:sz w:val="24"/>
        </w:rPr>
        <w:t>For example, utilities make readily available information on how to interconnect distributed generation safely and effectively with the network because such interconnection increases the value of the network even if the customer or another service provider supports the generation.</w:t>
      </w:r>
      <w:r>
        <w:rPr>
          <w:rStyle w:val="FootnoteCharacters"/>
          <w:rStyle w:val="FootnoteReference"/>
          <w:sz w:val="24"/>
        </w:rPr>
        <w:footnoteReference w:id="11"/>
      </w:r>
      <w:r>
        <w:rPr>
          <w:sz w:val="24"/>
        </w:rPr>
        <w:t xml:space="preserve">  Openness unleashes the power of innovation beyond the utility just as open architecture</w:t>
      </w:r>
      <w:r>
        <w:rPr>
          <w:rStyle w:val="FootnoteCharacters"/>
          <w:rStyle w:val="FootnoteReference"/>
          <w:sz w:val="24"/>
        </w:rPr>
        <w:footnoteReference w:id="12"/>
      </w:r>
      <w:r>
        <w:rPr>
          <w:sz w:val="24"/>
        </w:rPr>
        <w:t xml:space="preserve"> created exponential growth in information technology.  Because waste is the opposite of value, utilities strive to prevent waste or, in the least, recycle and re-use it.  Innovation in sustainable practices and environmentally sound actions increases value, not cost.  Finally, utilities cannibalize their own services before someone else does, with the beneficial consequences that new technologies deploy much faster and customers never again pay the cost of capital made obsolete by technological change.</w:t>
      </w:r>
      <w:r>
        <w:rPr>
          <w:rStyle w:val="FootnoteCharacters"/>
          <w:rStyle w:val="FootnoteReference"/>
          <w:sz w:val="24"/>
        </w:rPr>
        <w:footnoteReference w:id="13"/>
      </w:r>
    </w:p>
    <w:p>
      <w:pPr>
        <w:pStyle w:val="Heading2"/>
        <w:ind w:hanging="0" w:start="0"/>
        <w:rPr>
          <w:sz w:val="24"/>
        </w:rPr>
      </w:pPr>
      <w:r>
        <w:rPr>
          <w:sz w:val="24"/>
        </w:rPr>
        <w:t>Feedback and dialogue govern</w:t>
      </w:r>
    </w:p>
    <w:p>
      <w:pPr>
        <w:pStyle w:val="Normal"/>
        <w:spacing w:lineRule="auto" w:line="480"/>
        <w:ind w:firstLine="720" w:end="0"/>
        <w:jc w:val="both"/>
        <w:rPr>
          <w:sz w:val="24"/>
        </w:rPr>
      </w:pPr>
      <w:r>
        <w:rPr>
          <w:sz w:val="24"/>
        </w:rPr>
        <w:t xml:space="preserve">The content of utility and customer dialogue, whether individual or collective, is results achieved and changes desired to maintain or increase value in light of changing conditions.  The presence of results articulated, achieved or not achieved, and evaluated supports an environment rich in feedback for both utilities and customers.  We move from prescriptions that presume we know the future to processes that allow us to work productively together on what the future brings us.  </w:t>
      </w:r>
    </w:p>
    <w:p>
      <w:pPr>
        <w:pStyle w:val="Heading1"/>
        <w:ind w:hanging="0" w:start="0"/>
        <w:rPr>
          <w:sz w:val="24"/>
        </w:rPr>
      </w:pPr>
      <w:r>
        <w:rPr>
          <w:sz w:val="24"/>
        </w:rPr>
        <w:t>Section II - A Process</w:t>
      </w:r>
    </w:p>
    <w:p>
      <w:pPr>
        <w:pStyle w:val="Normal"/>
        <w:spacing w:lineRule="auto" w:line="480"/>
        <w:ind w:firstLine="720" w:end="0"/>
        <w:jc w:val="both"/>
        <w:rPr/>
      </w:pPr>
      <w:r>
        <w:rPr>
          <w:sz w:val="24"/>
        </w:rPr>
        <w:t>One way to describe a process is by its participants and the framework within which they interact.  For example, in the process we now follow for regulating electric distribution services ratepayers and regulators stand on one side and utilities on the other in a framework of litigation.</w:t>
      </w:r>
      <w:r>
        <w:rPr>
          <w:rStyle w:val="FootnoteCharacters"/>
          <w:rStyle w:val="FootnoteReference"/>
          <w:sz w:val="24"/>
        </w:rPr>
        <w:footnoteReference w:id="14"/>
      </w:r>
      <w:r>
        <w:rPr>
          <w:sz w:val="24"/>
        </w:rPr>
        <w:t xml:space="preserve">  To achieve the aspiration described above, we need new roles and a much more flexible framework.  I suggest that now, at the turn of the 21</w:t>
      </w:r>
      <w:r>
        <w:rPr>
          <w:sz w:val="24"/>
          <w:vertAlign w:val="superscript"/>
        </w:rPr>
        <w:t>st</w:t>
      </w:r>
      <w:r>
        <w:rPr>
          <w:sz w:val="24"/>
        </w:rPr>
        <w:t xml:space="preserve"> century, we can borrow not from the courts but from the commercial services world for our framework and roles.</w:t>
      </w:r>
      <w:r>
        <w:rPr>
          <w:rStyle w:val="FootnoteCharacters"/>
          <w:rStyle w:val="FootnoteReference"/>
          <w:sz w:val="24"/>
        </w:rPr>
        <w:footnoteReference w:id="15"/>
      </w:r>
      <w:r>
        <w:rPr>
          <w:sz w:val="24"/>
        </w:rPr>
        <w:t xml:space="preserve">  Let us act as buyers and sellers operating in a contractual framework, in full ownership of our roles as providers of a vital public service and representatives of the public interest.</w:t>
      </w:r>
    </w:p>
    <w:p>
      <w:pPr>
        <w:pStyle w:val="Normal"/>
        <w:spacing w:lineRule="auto" w:line="480"/>
        <w:ind w:firstLine="720" w:end="0"/>
        <w:jc w:val="both"/>
        <w:rPr/>
      </w:pPr>
      <w:r>
        <w:rPr>
          <w:sz w:val="24"/>
        </w:rPr>
        <w:t xml:space="preserve">In the best commercial service relationships, the buyer and seller focus on </w:t>
      </w:r>
      <w:r>
        <w:rPr>
          <w:b/>
          <w:sz w:val="24"/>
        </w:rPr>
        <w:t>what</w:t>
      </w:r>
      <w:r>
        <w:rPr>
          <w:sz w:val="24"/>
        </w:rPr>
        <w:t>, just as we must do.  The seller carefully listens as the buyer describes the results needed to achieve success and, by implication, the value of the results.  The buyer then equally carefully listens to the results the seller offers and assesses the price against the buyer’s value.  If the gap between result desired/value obtainable and result offered/price charged is not too large, the buyer and seller create a relationship to achieve the results.  On occasion, the buyer and seller go beyond listening and influence each other to create a result/value/price neither anticipated entering into the dialogue.  The relationship aligns the success of buyer and seller such that the more value the results create for the buyer, the more value the seller receives.  This alignment transforms the relationship from supplier and buyer to a partnership.</w:t>
      </w:r>
    </w:p>
    <w:p>
      <w:pPr>
        <w:pStyle w:val="Normal"/>
        <w:spacing w:lineRule="auto" w:line="480"/>
        <w:jc w:val="both"/>
        <w:rPr>
          <w:sz w:val="24"/>
        </w:rPr>
      </w:pPr>
      <w:r>
        <w:rPr>
          <w:sz w:val="24"/>
        </w:rPr>
        <w:tab/>
        <w:t>In commercial service relationships that either never begin or fail at some point early on, the buyer and seller talk to each other about how and cost.  Without articulating the results desired or value those results make achievable, the buyer delves deeply into how the seller should provide the services.  Without understanding the results and value of those results to the buyer, the seller talks about what it will cost to provide the capabilities the buyer is describing.  The negotiations are contentious as the buyer tries to get more capabilities, or how’s, for less and the seller tries to provide fewer capabilities for more.  Since the buyer and seller can align success only by accident with this process, the success of each party is at best neutral to the other’s and, at worst, opposite.</w:t>
      </w:r>
    </w:p>
    <w:p>
      <w:pPr>
        <w:pStyle w:val="BodyTextIndent"/>
        <w:rPr/>
      </w:pPr>
      <w:r>
        <w:rPr/>
        <w:t>In the commercial service world, the buyer and seller capture their initial dialogue about results and price in a contract.  A few key elements determine whether that contract will survive and support a healthy relationship or fail and lead to the termination of the relationship or, worse, the transformation of the buyer and seller into litigants.  These elements are:</w:t>
      </w:r>
    </w:p>
    <w:p>
      <w:pPr>
        <w:pStyle w:val="Normal"/>
        <w:numPr>
          <w:ilvl w:val="0"/>
          <w:numId w:val="8"/>
        </w:numPr>
        <w:tabs>
          <w:tab w:val="clear" w:pos="720"/>
          <w:tab w:val="left" w:pos="450" w:leader="none"/>
        </w:tabs>
        <w:spacing w:lineRule="auto" w:line="480"/>
        <w:ind w:hanging="360" w:start="450" w:end="0"/>
        <w:jc w:val="both"/>
        <w:rPr>
          <w:sz w:val="24"/>
        </w:rPr>
      </w:pPr>
      <w:r>
        <w:rPr>
          <w:b/>
          <w:sz w:val="24"/>
        </w:rPr>
        <w:t>A scope</w:t>
      </w:r>
      <w:r>
        <w:rPr>
          <w:sz w:val="24"/>
        </w:rPr>
        <w:t xml:space="preserve">.  The scope is the “what” the buyer and seller define between themselves, the facilities and activities that support the one or more results that the seller will achieve for the buyer.  Lack of clarity on scope ends many commercial services relationships.  The initial scope need not confine the relationship; it serves only to delineate the interaction between buyer and seller regarding what exists today and what could exist as a result of further negotiation that either amends the contract or produces a new one.  Scope is typically the most difficult, and most important, part of a contractual negotiation.  Reaching agreement here requires that each party know with clarity the results or value that they want.  It is </w:t>
      </w:r>
      <w:r>
        <w:rPr>
          <w:sz w:val="24"/>
          <w:u w:val="single"/>
        </w:rPr>
        <w:t>the</w:t>
      </w:r>
      <w:r>
        <w:rPr>
          <w:sz w:val="24"/>
        </w:rPr>
        <w:t xml:space="preserve"> purpose of the contract.</w:t>
      </w:r>
      <w:r>
        <w:rPr>
          <w:rStyle w:val="FootnoteCharacters"/>
          <w:rStyle w:val="FootnoteReference"/>
          <w:sz w:val="24"/>
        </w:rPr>
        <w:footnoteReference w:id="16"/>
      </w:r>
    </w:p>
    <w:p>
      <w:pPr>
        <w:pStyle w:val="Normal"/>
        <w:numPr>
          <w:ilvl w:val="0"/>
          <w:numId w:val="8"/>
        </w:numPr>
        <w:tabs>
          <w:tab w:val="clear" w:pos="720"/>
          <w:tab w:val="left" w:pos="450" w:leader="none"/>
        </w:tabs>
        <w:spacing w:lineRule="auto" w:line="480"/>
        <w:ind w:hanging="360" w:start="450" w:end="0"/>
        <w:jc w:val="both"/>
        <w:rPr>
          <w:sz w:val="24"/>
        </w:rPr>
      </w:pPr>
      <w:r>
        <w:rPr>
          <w:b/>
          <w:sz w:val="24"/>
        </w:rPr>
        <w:t>Clear expectations</w:t>
      </w:r>
      <w:r>
        <w:rPr>
          <w:sz w:val="24"/>
        </w:rPr>
        <w:t>.  The buyer and seller must identify how both will determine whether the results occurred or not.  Ideally, each result or even component of the result has specific, measurable evidence by which the buyer and seller can identify performance.  If the evidence is qualitative, the buyer and seller must agree on a method of resolving differing perceptions of what exists.</w:t>
      </w:r>
      <w:r>
        <w:rPr>
          <w:b/>
          <w:sz w:val="24"/>
        </w:rPr>
        <w:t xml:space="preserve"> </w:t>
      </w:r>
    </w:p>
    <w:p>
      <w:pPr>
        <w:pStyle w:val="Normal"/>
        <w:numPr>
          <w:ilvl w:val="0"/>
          <w:numId w:val="8"/>
        </w:numPr>
        <w:tabs>
          <w:tab w:val="clear" w:pos="720"/>
          <w:tab w:val="left" w:pos="450" w:leader="none"/>
        </w:tabs>
        <w:spacing w:lineRule="auto" w:line="480"/>
        <w:ind w:hanging="360" w:start="450" w:end="0"/>
        <w:jc w:val="both"/>
        <w:rPr>
          <w:sz w:val="24"/>
        </w:rPr>
      </w:pPr>
      <w:r>
        <w:rPr>
          <w:b/>
          <w:sz w:val="24"/>
        </w:rPr>
        <w:t>Constraints</w:t>
      </w:r>
      <w:r>
        <w:rPr>
          <w:sz w:val="24"/>
        </w:rPr>
        <w:t>.  As a general rule, the buyer should avoid constraining how the seller performs the services because constraints close paths of innovation and raise prices.  Where the buyer cannot achieve the value of the results without constraints on the seller, the contract must specify these constraints so that all are clear on what the seller may or may not do.</w:t>
      </w:r>
    </w:p>
    <w:p>
      <w:pPr>
        <w:pStyle w:val="Normal"/>
        <w:numPr>
          <w:ilvl w:val="0"/>
          <w:numId w:val="8"/>
        </w:numPr>
        <w:tabs>
          <w:tab w:val="clear" w:pos="720"/>
          <w:tab w:val="left" w:pos="450" w:leader="none"/>
        </w:tabs>
        <w:spacing w:lineRule="auto" w:line="480"/>
        <w:ind w:hanging="360" w:start="450" w:end="0"/>
        <w:jc w:val="both"/>
        <w:rPr>
          <w:sz w:val="24"/>
        </w:rPr>
      </w:pPr>
      <w:r>
        <w:rPr>
          <w:b/>
          <w:sz w:val="24"/>
        </w:rPr>
        <w:t>Known consequences</w:t>
      </w:r>
      <w:r>
        <w:rPr>
          <w:sz w:val="24"/>
        </w:rPr>
        <w:t>.  To the extent possible, the contract describes the consequences for a failure of performance by either buyer or seller.  This becomes possible to the extent buyer and seller truly understand the value of the results being provided.</w:t>
      </w:r>
    </w:p>
    <w:p>
      <w:pPr>
        <w:pStyle w:val="Normal"/>
        <w:numPr>
          <w:ilvl w:val="0"/>
          <w:numId w:val="8"/>
        </w:numPr>
        <w:tabs>
          <w:tab w:val="clear" w:pos="720"/>
          <w:tab w:val="left" w:pos="450" w:leader="none"/>
        </w:tabs>
        <w:spacing w:lineRule="auto" w:line="480"/>
        <w:ind w:hanging="360" w:start="450" w:end="0"/>
        <w:jc w:val="both"/>
        <w:rPr>
          <w:sz w:val="24"/>
        </w:rPr>
      </w:pPr>
      <w:r>
        <w:rPr>
          <w:b/>
          <w:sz w:val="24"/>
        </w:rPr>
        <w:t>A change process</w:t>
      </w:r>
      <w:r>
        <w:rPr>
          <w:sz w:val="24"/>
        </w:rPr>
        <w:t>.  The world is moving much too quickly to allow static relationships or contracts.  Thus, the contract ideally includes a process by which the buyer and seller can agree to change the scope, the expectations, and the consequences as circumstances change.</w:t>
      </w:r>
    </w:p>
    <w:p>
      <w:pPr>
        <w:pStyle w:val="Normal"/>
        <w:numPr>
          <w:ilvl w:val="0"/>
          <w:numId w:val="8"/>
        </w:numPr>
        <w:tabs>
          <w:tab w:val="clear" w:pos="720"/>
          <w:tab w:val="left" w:pos="450" w:leader="none"/>
        </w:tabs>
        <w:spacing w:lineRule="auto" w:line="480"/>
        <w:ind w:hanging="360" w:start="450" w:end="0"/>
        <w:jc w:val="both"/>
        <w:rPr>
          <w:sz w:val="24"/>
        </w:rPr>
      </w:pPr>
      <w:r>
        <w:rPr>
          <w:b/>
          <w:sz w:val="24"/>
        </w:rPr>
        <w:t>A term and workable termination provisions</w:t>
      </w:r>
      <w:r>
        <w:rPr>
          <w:sz w:val="24"/>
        </w:rPr>
        <w:t xml:space="preserve">.  Part of the original expectation the buyer and seller must set between themselves is the length of their relationship.  The term should not be so short that the relationship ends before it has an opportunity to mature and deliver the value expected, nor so long that the changes in the environment will exceed the ability of the change process to cope.  The term, in effect, identifies the point at which the buyer and seller agree to engage in another general negotiation to create mutual value.  Typically the contract will also provide for early termination in extreme cases of a departure by either buyer or seller from the original expectations.  </w:t>
      </w:r>
    </w:p>
    <w:p>
      <w:pPr>
        <w:pStyle w:val="BodyText"/>
        <w:ind w:firstLine="630" w:start="450" w:end="0"/>
        <w:rPr>
          <w:sz w:val="24"/>
        </w:rPr>
      </w:pPr>
      <w:r>
        <w:rPr>
          <w:sz w:val="24"/>
        </w:rPr>
        <w:t>Why is the ability to terminate important?  Service relationships, of necessity, must cope with unknowns as the term of the relationship progresses.  Parties can never anticipate every contingency in designing their contract, and managing unforeseen events successfully requires constant vigilance and dedication by both buyer and seller.  Somewhat perversely, the ability of either party to terminate the relationship typically provides the needed perseverance and discipline to achieve successful resolution of the inevitable issues.  Termination is certainly painful for the service provider, meaning a loss of revenues and idle staff.  But termination can be almost as painful for the customer, requiring a transition to a new service provider and potential disruptions in results.  This shared desire to avoid pain helps the parties find reasonable solutions to the unanticipated issues.</w:t>
      </w:r>
    </w:p>
    <w:p>
      <w:pPr>
        <w:pStyle w:val="BodyTextIndent"/>
        <w:rPr/>
      </w:pPr>
      <w:r>
        <w:rPr/>
        <w:t>These elements not only support a healthy buyer-seller relationship, but allow the seller to employ catalytic mechanisms in its management of the people who do the work.  Because the contract does not dictate how the seller must provide the results, the seller need not dictate a “how” to its employees.  Instead, the same notions of scope, expectations, and consequences can govern, distributing power, producing unpredictable means, and attracting the right people, instead of trying to force people to do the right thing.</w:t>
      </w:r>
    </w:p>
    <w:p>
      <w:pPr>
        <w:pStyle w:val="Normal"/>
        <w:spacing w:lineRule="auto" w:line="480"/>
        <w:ind w:firstLine="720" w:end="0"/>
        <w:jc w:val="both"/>
        <w:rPr>
          <w:sz w:val="24"/>
        </w:rPr>
      </w:pPr>
      <w:r>
        <w:rPr>
          <w:sz w:val="24"/>
        </w:rPr>
        <w:t>Lest the above imply that applying this process to electric distribution services will be easy, let me acknowledge that it will not.  Defining the scope, articulating the results, and establishing the measurement systems will take time and effort.  But, then again, the average rate case takes six to twelve months.  Personally, I would rather work on results and value, than full-time equivalent employee positions and cost of capital.  I suspect many in this arena would choose similarly.</w:t>
      </w:r>
    </w:p>
    <w:p>
      <w:pPr>
        <w:pStyle w:val="Normal"/>
        <w:spacing w:lineRule="auto" w:line="480"/>
        <w:ind w:firstLine="720" w:end="0"/>
        <w:jc w:val="both"/>
        <w:rPr/>
      </w:pPr>
      <w:r>
        <w:rPr>
          <w:sz w:val="24"/>
        </w:rPr>
        <w:t>In the process described above, regulators assume the role of buyer on behalf of those customers for whom individual negotiations and administration do not make sense.</w:t>
      </w:r>
      <w:r>
        <w:rPr>
          <w:rStyle w:val="FootnoteCharacters"/>
          <w:rStyle w:val="FootnoteReference"/>
          <w:sz w:val="24"/>
        </w:rPr>
        <w:footnoteReference w:id="17"/>
      </w:r>
      <w:r>
        <w:rPr>
          <w:sz w:val="24"/>
        </w:rPr>
        <w:t xml:space="preserve">  In essence, regulators act as aggregators, negotiating and administering the electric distribution services contract and, perhaps, restructuring the price charged by the seller for purposes of collecting the amount necessary from the aggregated customers.  For example, the seller might charge on a per-meter-supported basis, while the aggregator may collect from customers on a consumption basis.</w:t>
      </w:r>
      <w:r>
        <w:rPr>
          <w:rStyle w:val="FootnoteCharacters"/>
          <w:rStyle w:val="FootnoteReference"/>
          <w:sz w:val="24"/>
        </w:rPr>
        <w:footnoteReference w:id="18"/>
      </w:r>
      <w:r>
        <w:rPr>
          <w:sz w:val="24"/>
        </w:rPr>
        <w:t xml:space="preserve">  Among the aggregator’s responsibilities are:</w:t>
      </w:r>
    </w:p>
    <w:p>
      <w:pPr>
        <w:pStyle w:val="Normal"/>
        <w:numPr>
          <w:ilvl w:val="0"/>
          <w:numId w:val="4"/>
        </w:numPr>
        <w:spacing w:lineRule="auto" w:line="480"/>
        <w:jc w:val="both"/>
        <w:rPr>
          <w:sz w:val="24"/>
        </w:rPr>
      </w:pPr>
      <w:r>
        <w:rPr>
          <w:sz w:val="24"/>
        </w:rPr>
        <w:t>Negotiating scope, expectations, constraints, consequences, change processes, termination and, of course, price.</w:t>
      </w:r>
    </w:p>
    <w:p>
      <w:pPr>
        <w:pStyle w:val="Normal"/>
        <w:numPr>
          <w:ilvl w:val="0"/>
          <w:numId w:val="4"/>
        </w:numPr>
        <w:spacing w:lineRule="auto" w:line="480"/>
        <w:jc w:val="both"/>
        <w:rPr>
          <w:sz w:val="24"/>
        </w:rPr>
      </w:pPr>
      <w:r>
        <w:rPr>
          <w:sz w:val="24"/>
        </w:rPr>
        <w:t>Monitoring performance using the agreed-upon evidence and applying consequences for non-performance.</w:t>
      </w:r>
    </w:p>
    <w:p>
      <w:pPr>
        <w:pStyle w:val="Normal"/>
        <w:numPr>
          <w:ilvl w:val="0"/>
          <w:numId w:val="4"/>
        </w:numPr>
        <w:spacing w:lineRule="auto" w:line="480"/>
        <w:jc w:val="both"/>
        <w:rPr>
          <w:sz w:val="24"/>
        </w:rPr>
      </w:pPr>
      <w:r>
        <w:rPr>
          <w:sz w:val="24"/>
        </w:rPr>
        <w:t>Initiating or responding to requests for changes in scope, expectations or consequences.</w:t>
      </w:r>
    </w:p>
    <w:p>
      <w:pPr>
        <w:pStyle w:val="Normal"/>
        <w:numPr>
          <w:ilvl w:val="0"/>
          <w:numId w:val="4"/>
        </w:numPr>
        <w:spacing w:lineRule="auto" w:line="480"/>
        <w:jc w:val="both"/>
        <w:rPr>
          <w:sz w:val="24"/>
        </w:rPr>
      </w:pPr>
      <w:r>
        <w:rPr>
          <w:sz w:val="24"/>
        </w:rPr>
        <w:t>Initiating or responding to an exercise of early termination rights.</w:t>
      </w:r>
    </w:p>
    <w:p>
      <w:pPr>
        <w:pStyle w:val="Normal"/>
        <w:numPr>
          <w:ilvl w:val="0"/>
          <w:numId w:val="4"/>
        </w:numPr>
        <w:spacing w:lineRule="auto" w:line="480"/>
        <w:jc w:val="both"/>
        <w:rPr>
          <w:sz w:val="24"/>
        </w:rPr>
      </w:pPr>
      <w:r>
        <w:rPr>
          <w:sz w:val="24"/>
        </w:rPr>
        <w:t xml:space="preserve">Preparing for and handling end-of-term negotiations and unwinding the relationship if those negotiations fail. </w:t>
      </w:r>
    </w:p>
    <w:p>
      <w:pPr>
        <w:pStyle w:val="Normal"/>
        <w:spacing w:lineRule="auto" w:line="480"/>
        <w:jc w:val="both"/>
        <w:rPr>
          <w:sz w:val="24"/>
        </w:rPr>
      </w:pPr>
      <w:r>
        <w:rPr>
          <w:sz w:val="24"/>
        </w:rPr>
        <w:t>Viewed in this light, one can imagine other aggregators as well, including cities and neighborhoods, within the area served by a utility’s facilities, either in place of or under the coordination of a regulator/aggregator for the entire service territory.</w:t>
      </w:r>
    </w:p>
    <w:p>
      <w:pPr>
        <w:pStyle w:val="Heading1"/>
        <w:ind w:hanging="0" w:start="0"/>
        <w:rPr>
          <w:sz w:val="24"/>
        </w:rPr>
      </w:pPr>
      <w:r>
        <w:rPr>
          <w:sz w:val="24"/>
        </w:rPr>
        <w:t>Section III - A Practical Application</w:t>
      </w:r>
    </w:p>
    <w:p>
      <w:pPr>
        <w:pStyle w:val="BodyText"/>
        <w:ind w:firstLine="720" w:end="0"/>
        <w:rPr>
          <w:sz w:val="24"/>
        </w:rPr>
      </w:pPr>
      <w:r>
        <w:rPr>
          <w:sz w:val="24"/>
        </w:rPr>
        <w:t>The aspiration and process above are conceptual.  They describe a world in which:</w:t>
      </w:r>
    </w:p>
    <w:p>
      <w:pPr>
        <w:pStyle w:val="BodyText"/>
        <w:numPr>
          <w:ilvl w:val="0"/>
          <w:numId w:val="12"/>
        </w:numPr>
        <w:tabs>
          <w:tab w:val="clear" w:pos="720"/>
          <w:tab w:val="left" w:pos="1140" w:leader="none"/>
        </w:tabs>
        <w:ind w:hanging="360" w:start="1140" w:end="0"/>
        <w:rPr>
          <w:sz w:val="24"/>
        </w:rPr>
      </w:pPr>
      <w:r>
        <w:rPr>
          <w:sz w:val="24"/>
        </w:rPr>
        <w:t>Utilities are no longer regulated entities, but rather businesses that provide both regulated/aggregated services and not regulated/individually negotiated services.</w:t>
      </w:r>
    </w:p>
    <w:p>
      <w:pPr>
        <w:pStyle w:val="BodyText"/>
        <w:numPr>
          <w:ilvl w:val="0"/>
          <w:numId w:val="12"/>
        </w:numPr>
        <w:tabs>
          <w:tab w:val="clear" w:pos="720"/>
          <w:tab w:val="left" w:pos="1140" w:leader="none"/>
        </w:tabs>
        <w:ind w:hanging="360" w:start="1140" w:end="0"/>
        <w:rPr>
          <w:sz w:val="24"/>
        </w:rPr>
      </w:pPr>
      <w:r>
        <w:rPr>
          <w:sz w:val="24"/>
        </w:rPr>
        <w:t>Customers receive regulated services at regulated prices, which are designed to meet objectives that serve the public interest and need not mirror the prices paid to the utility.</w:t>
      </w:r>
    </w:p>
    <w:p>
      <w:pPr>
        <w:pStyle w:val="BodyText"/>
        <w:numPr>
          <w:ilvl w:val="0"/>
          <w:numId w:val="12"/>
        </w:numPr>
        <w:tabs>
          <w:tab w:val="clear" w:pos="720"/>
          <w:tab w:val="left" w:pos="1140" w:leader="none"/>
        </w:tabs>
        <w:ind w:hanging="360" w:start="1140" w:end="0"/>
        <w:rPr>
          <w:sz w:val="24"/>
        </w:rPr>
      </w:pPr>
      <w:r>
        <w:rPr>
          <w:sz w:val="24"/>
        </w:rPr>
        <w:t>We have replaced the implicit and fuzzy regulatory compact with one or more regulated contracts, in which customers – individually or in aggregate – pay for performance, not investment and in which we price on results and value, not on how and cost.</w:t>
      </w:r>
      <w:r>
        <w:rPr>
          <w:rStyle w:val="FootnoteCharacters"/>
          <w:rStyle w:val="FootnoteReference"/>
          <w:sz w:val="24"/>
        </w:rPr>
        <w:footnoteReference w:id="19"/>
      </w:r>
    </w:p>
    <w:p>
      <w:pPr>
        <w:pStyle w:val="BodyText"/>
        <w:numPr>
          <w:ilvl w:val="0"/>
          <w:numId w:val="12"/>
        </w:numPr>
        <w:tabs>
          <w:tab w:val="clear" w:pos="720"/>
          <w:tab w:val="left" w:pos="1140" w:leader="none"/>
        </w:tabs>
        <w:ind w:hanging="360" w:start="1140" w:end="0"/>
        <w:rPr>
          <w:sz w:val="24"/>
        </w:rPr>
      </w:pPr>
      <w:r>
        <w:rPr>
          <w:sz w:val="24"/>
        </w:rPr>
        <w:t xml:space="preserve">Risk and reward exist; rate base and cost-plus ratemaking do not. </w:t>
      </w:r>
    </w:p>
    <w:p>
      <w:pPr>
        <w:pStyle w:val="BodyText"/>
        <w:ind w:firstLine="720" w:end="0"/>
        <w:rPr>
          <w:sz w:val="24"/>
        </w:rPr>
      </w:pPr>
      <w:r>
        <w:rPr>
          <w:sz w:val="24"/>
        </w:rPr>
        <w:t>To make this conceptual world a bit more real, and provide the basis to speculate whether the process chosen will move us toward our aspirations, moving from the 100,000-foot level to the 50,000-foot level might be useful.  The following attempts this descent in the context of a hypothetical utility, ValueCo, whose service territory encompasses both cities and unincorporated space, under the jurisdiction of a State Public Utility Commission or SPUC.  As we begin the story, ValueCo and the SPUC have agreed to replace the 60-year old regulatory compact under which the SPUC now regulates ValueCo with a regulatory contract for electric distribution services.</w:t>
      </w:r>
    </w:p>
    <w:p>
      <w:pPr>
        <w:pStyle w:val="BodyText"/>
        <w:rPr>
          <w:b/>
          <w:sz w:val="24"/>
        </w:rPr>
      </w:pPr>
      <w:r>
        <w:rPr>
          <w:b/>
          <w:sz w:val="24"/>
        </w:rPr>
        <w:t>What do you value?</w:t>
      </w:r>
    </w:p>
    <w:p>
      <w:pPr>
        <w:pStyle w:val="BodyText"/>
        <w:ind w:firstLine="720" w:end="0"/>
        <w:rPr/>
      </w:pPr>
      <w:r>
        <w:rPr>
          <w:sz w:val="24"/>
        </w:rPr>
        <w:t>Just as any good seller would, ValueCo first probes SPUC</w:t>
      </w:r>
      <w:r>
        <w:rPr>
          <w:rStyle w:val="FootnoteCharacters"/>
          <w:rStyle w:val="FootnoteReference"/>
          <w:sz w:val="24"/>
        </w:rPr>
        <w:footnoteReference w:id="20"/>
      </w:r>
      <w:r>
        <w:rPr>
          <w:sz w:val="24"/>
        </w:rPr>
        <w:t xml:space="preserve"> for what it values about the electric distribution system.  SPUC identifies the following:</w:t>
      </w:r>
    </w:p>
    <w:p>
      <w:pPr>
        <w:pStyle w:val="BodyText"/>
        <w:numPr>
          <w:ilvl w:val="0"/>
          <w:numId w:val="9"/>
        </w:numPr>
        <w:tabs>
          <w:tab w:val="clear" w:pos="720"/>
          <w:tab w:val="left" w:pos="450" w:leader="none"/>
        </w:tabs>
        <w:ind w:hanging="360" w:start="450" w:end="0"/>
        <w:rPr>
          <w:sz w:val="24"/>
        </w:rPr>
      </w:pPr>
      <w:r>
        <w:rPr>
          <w:sz w:val="24"/>
        </w:rPr>
        <w:t>Reliability.  Infrastructure such as the electric distribution system is worthless if it is not generally available when needed.  SPUC values a highly reliable system.</w:t>
      </w:r>
    </w:p>
    <w:p>
      <w:pPr>
        <w:pStyle w:val="BodyText"/>
        <w:numPr>
          <w:ilvl w:val="0"/>
          <w:numId w:val="9"/>
        </w:numPr>
        <w:tabs>
          <w:tab w:val="clear" w:pos="720"/>
          <w:tab w:val="left" w:pos="450" w:leader="none"/>
        </w:tabs>
        <w:ind w:hanging="360" w:start="450" w:end="0"/>
        <w:rPr>
          <w:sz w:val="24"/>
        </w:rPr>
      </w:pPr>
      <w:r>
        <w:rPr>
          <w:sz w:val="24"/>
        </w:rPr>
        <w:t>Quality.  With increasingly sensitive electric applications, the electric distribution system must deliver a certain quality or its value will decrease significantly.  The SPUC values a quality high enough for most applications but not for the most sensitive.</w:t>
      </w:r>
    </w:p>
    <w:p>
      <w:pPr>
        <w:pStyle w:val="BodyText"/>
        <w:numPr>
          <w:ilvl w:val="0"/>
          <w:numId w:val="9"/>
        </w:numPr>
        <w:tabs>
          <w:tab w:val="clear" w:pos="720"/>
          <w:tab w:val="left" w:pos="450" w:leader="none"/>
        </w:tabs>
        <w:ind w:hanging="360" w:start="450" w:end="0"/>
        <w:rPr>
          <w:sz w:val="24"/>
        </w:rPr>
      </w:pPr>
      <w:r>
        <w:rPr>
          <w:sz w:val="24"/>
        </w:rPr>
        <w:t>Safety.  Electric distribution system infrastructure poses safety risks to the people that construct, maintain, and repair it, as well as to the public at large.  The SPUC values a safe system, with few to no preventable accidents.</w:t>
      </w:r>
    </w:p>
    <w:p>
      <w:pPr>
        <w:pStyle w:val="BodyText"/>
        <w:numPr>
          <w:ilvl w:val="0"/>
          <w:numId w:val="9"/>
        </w:numPr>
        <w:tabs>
          <w:tab w:val="clear" w:pos="720"/>
          <w:tab w:val="left" w:pos="450" w:leader="none"/>
        </w:tabs>
        <w:ind w:hanging="360" w:start="450" w:end="0"/>
        <w:rPr>
          <w:sz w:val="24"/>
        </w:rPr>
      </w:pPr>
      <w:r>
        <w:rPr>
          <w:sz w:val="24"/>
        </w:rPr>
        <w:t xml:space="preserve">Environmental responsibility.  The construction, maintenance, replacement and disposal of facilities used in the electric distribution system encompass actions and decisions that can have significant environmental impact.  The SPUC values both compliance with all existing environmental regulations, as well as a long-term lessening in the waste streams from these activities. </w:t>
      </w:r>
    </w:p>
    <w:p>
      <w:pPr>
        <w:pStyle w:val="BodyText"/>
        <w:numPr>
          <w:ilvl w:val="0"/>
          <w:numId w:val="9"/>
        </w:numPr>
        <w:tabs>
          <w:tab w:val="clear" w:pos="720"/>
          <w:tab w:val="left" w:pos="450" w:leader="none"/>
        </w:tabs>
        <w:ind w:hanging="360" w:start="450" w:end="0"/>
        <w:rPr>
          <w:sz w:val="24"/>
        </w:rPr>
      </w:pPr>
      <w:r>
        <w:rPr>
          <w:sz w:val="24"/>
        </w:rPr>
        <w:t>Accessibility.  It must be easy to get necessary information about infrastructure that is as vital to everyday living and business as the electric distribution system.  This includes the location of facilities, their current operating status and, if unavailable, the time until they are available again, how to connect to the system, how to arrange for service, how to pay for service, and so forth.  The SPUC values easy access to accurate information about the electric distribution system.</w:t>
      </w:r>
    </w:p>
    <w:p>
      <w:pPr>
        <w:pStyle w:val="BodyText"/>
        <w:ind w:firstLine="720" w:end="0"/>
        <w:rPr>
          <w:sz w:val="24"/>
        </w:rPr>
      </w:pPr>
      <w:r>
        <w:rPr>
          <w:sz w:val="24"/>
        </w:rPr>
        <w:t xml:space="preserve">This is, of course, not an exclusive list of possible values and, in the service of brevity, I have chosen the obvious and high level values.  Other values could include accurate and useful bills, collection success, and timeliness of responses to requests for new service. </w:t>
      </w:r>
    </w:p>
    <w:p>
      <w:pPr>
        <w:pStyle w:val="BodyText"/>
        <w:rPr>
          <w:sz w:val="24"/>
        </w:rPr>
      </w:pPr>
      <w:r>
        <w:rPr>
          <w:b/>
          <w:sz w:val="24"/>
        </w:rPr>
        <w:t>What do results look like?</w:t>
      </w:r>
    </w:p>
    <w:p>
      <w:pPr>
        <w:pStyle w:val="BodyText"/>
        <w:rPr>
          <w:sz w:val="24"/>
        </w:rPr>
      </w:pPr>
      <w:r>
        <w:rPr>
          <w:sz w:val="24"/>
        </w:rPr>
        <w:t>At the next critical step in the negotiation, ValueCo and the SPUC define the results for each of the values.  Again, this is an example only and I do not mean to suggest that what follows is the only way in which one might measure results for these values.</w:t>
      </w:r>
    </w:p>
    <w:p>
      <w:pPr>
        <w:pStyle w:val="BodyText"/>
        <w:rPr/>
      </w:pPr>
      <w:r>
        <w:rPr>
          <w:sz w:val="24"/>
          <w:u w:val="single"/>
        </w:rPr>
        <w:t>Reliability</w:t>
      </w:r>
      <w:r>
        <w:rPr>
          <w:sz w:val="24"/>
        </w:rPr>
        <w:t>: ValueCo and the SPUC decide that the evidence to measure results is:</w:t>
      </w:r>
    </w:p>
    <w:p>
      <w:pPr>
        <w:pStyle w:val="BodyText"/>
        <w:numPr>
          <w:ilvl w:val="0"/>
          <w:numId w:val="15"/>
        </w:numPr>
        <w:tabs>
          <w:tab w:val="clear" w:pos="720"/>
          <w:tab w:val="left" w:pos="1080" w:leader="none"/>
        </w:tabs>
        <w:ind w:hanging="360" w:start="1080" w:end="0"/>
        <w:rPr>
          <w:sz w:val="24"/>
        </w:rPr>
      </w:pPr>
      <w:r>
        <w:rPr>
          <w:sz w:val="24"/>
        </w:rPr>
        <w:t>The number of times per rolling twelve-month period that the distribution system is unavailable</w:t>
      </w:r>
    </w:p>
    <w:p>
      <w:pPr>
        <w:pStyle w:val="BodyText"/>
        <w:numPr>
          <w:ilvl w:val="0"/>
          <w:numId w:val="15"/>
        </w:numPr>
        <w:tabs>
          <w:tab w:val="clear" w:pos="720"/>
          <w:tab w:val="left" w:pos="1080" w:leader="none"/>
        </w:tabs>
        <w:ind w:hanging="360" w:start="1080" w:end="0"/>
        <w:rPr>
          <w:sz w:val="24"/>
        </w:rPr>
      </w:pPr>
      <w:r>
        <w:rPr>
          <w:sz w:val="24"/>
        </w:rPr>
        <w:t>The length of time per rolling twelve-month period that the distribution system is unavailable</w:t>
      </w:r>
    </w:p>
    <w:p>
      <w:pPr>
        <w:pStyle w:val="BodyText"/>
        <w:numPr>
          <w:ilvl w:val="0"/>
          <w:numId w:val="15"/>
        </w:numPr>
        <w:tabs>
          <w:tab w:val="clear" w:pos="720"/>
          <w:tab w:val="left" w:pos="1080" w:leader="none"/>
        </w:tabs>
        <w:ind w:hanging="360" w:start="1080" w:end="0"/>
        <w:rPr>
          <w:sz w:val="24"/>
        </w:rPr>
      </w:pPr>
      <w:r>
        <w:rPr>
          <w:sz w:val="24"/>
        </w:rPr>
        <w:t>The average length of unavailability per rolling twelve-month period</w:t>
      </w:r>
    </w:p>
    <w:p>
      <w:pPr>
        <w:pStyle w:val="BodyText"/>
        <w:rPr/>
      </w:pPr>
      <w:r>
        <w:rPr>
          <w:sz w:val="24"/>
          <w:u w:val="single"/>
        </w:rPr>
        <w:t>Quality</w:t>
      </w:r>
      <w:r>
        <w:rPr>
          <w:sz w:val="24"/>
        </w:rPr>
        <w:t>: ValueCo and the SPUC decide that the evidence to measure results is:</w:t>
      </w:r>
    </w:p>
    <w:p>
      <w:pPr>
        <w:pStyle w:val="BodyText"/>
        <w:numPr>
          <w:ilvl w:val="0"/>
          <w:numId w:val="11"/>
        </w:numPr>
        <w:tabs>
          <w:tab w:val="clear" w:pos="720"/>
          <w:tab w:val="left" w:pos="1080" w:leader="none"/>
        </w:tabs>
        <w:ind w:hanging="360" w:start="1080" w:end="0"/>
        <w:rPr>
          <w:sz w:val="24"/>
        </w:rPr>
      </w:pPr>
      <w:r>
        <w:rPr>
          <w:sz w:val="24"/>
        </w:rPr>
        <w:t>The number of momentary outages per point of delivery on the system over some time period</w:t>
      </w:r>
    </w:p>
    <w:p>
      <w:pPr>
        <w:pStyle w:val="BodyText"/>
        <w:numPr>
          <w:ilvl w:val="0"/>
          <w:numId w:val="11"/>
        </w:numPr>
        <w:tabs>
          <w:tab w:val="clear" w:pos="720"/>
          <w:tab w:val="left" w:pos="1080" w:leader="none"/>
        </w:tabs>
        <w:ind w:hanging="360" w:start="1080" w:end="0"/>
        <w:rPr>
          <w:sz w:val="24"/>
        </w:rPr>
      </w:pPr>
      <w:r>
        <w:rPr>
          <w:sz w:val="24"/>
        </w:rPr>
        <w:t>[need to add]</w:t>
      </w:r>
    </w:p>
    <w:p>
      <w:pPr>
        <w:pStyle w:val="BodyText"/>
        <w:rPr/>
      </w:pPr>
      <w:r>
        <w:rPr>
          <w:sz w:val="24"/>
          <w:u w:val="single"/>
        </w:rPr>
        <w:t>Safety</w:t>
      </w:r>
      <w:r>
        <w:rPr>
          <w:sz w:val="24"/>
        </w:rPr>
        <w:t>: ValueCo and the SPUC decide that the evidence to measure results is:</w:t>
      </w:r>
    </w:p>
    <w:p>
      <w:pPr>
        <w:pStyle w:val="BodyText"/>
        <w:numPr>
          <w:ilvl w:val="0"/>
          <w:numId w:val="6"/>
        </w:numPr>
        <w:tabs>
          <w:tab w:val="clear" w:pos="720"/>
          <w:tab w:val="left" w:pos="1080" w:leader="none"/>
        </w:tabs>
        <w:ind w:hanging="360" w:start="1080" w:end="0"/>
        <w:rPr>
          <w:sz w:val="24"/>
        </w:rPr>
      </w:pPr>
      <w:r>
        <w:rPr>
          <w:sz w:val="24"/>
        </w:rPr>
        <w:t>The number and severity of preventable accidents per year, stated separately for those working on the distribution system and for the general public</w:t>
      </w:r>
    </w:p>
    <w:p>
      <w:pPr>
        <w:pStyle w:val="BodyText"/>
        <w:numPr>
          <w:ilvl w:val="0"/>
          <w:numId w:val="6"/>
        </w:numPr>
        <w:tabs>
          <w:tab w:val="clear" w:pos="720"/>
          <w:tab w:val="left" w:pos="1080" w:leader="none"/>
        </w:tabs>
        <w:ind w:hanging="360" w:start="1080" w:end="0"/>
        <w:rPr>
          <w:sz w:val="24"/>
        </w:rPr>
      </w:pPr>
      <w:r>
        <w:rPr>
          <w:sz w:val="24"/>
        </w:rPr>
        <w:t>General public and worker awareness of safety issues, as measured by an agreed-upon survey</w:t>
      </w:r>
    </w:p>
    <w:p>
      <w:pPr>
        <w:pStyle w:val="BodyText"/>
        <w:numPr>
          <w:ilvl w:val="0"/>
          <w:numId w:val="6"/>
        </w:numPr>
        <w:tabs>
          <w:tab w:val="clear" w:pos="720"/>
          <w:tab w:val="left" w:pos="1080" w:leader="none"/>
        </w:tabs>
        <w:ind w:hanging="360" w:start="1080" w:end="0"/>
        <w:rPr>
          <w:sz w:val="24"/>
        </w:rPr>
      </w:pPr>
      <w:r>
        <w:rPr>
          <w:sz w:val="24"/>
        </w:rPr>
        <w:t>Compliance with national and local codes as determined by audit</w:t>
      </w:r>
    </w:p>
    <w:p>
      <w:pPr>
        <w:pStyle w:val="BodyText"/>
        <w:rPr/>
      </w:pPr>
      <w:r>
        <w:rPr>
          <w:sz w:val="24"/>
          <w:u w:val="single"/>
        </w:rPr>
        <w:t>Environmental</w:t>
      </w:r>
      <w:r>
        <w:rPr>
          <w:sz w:val="24"/>
        </w:rPr>
        <w:t xml:space="preserve"> </w:t>
      </w:r>
      <w:r>
        <w:rPr>
          <w:sz w:val="24"/>
          <w:u w:val="single"/>
        </w:rPr>
        <w:t>Responsibility</w:t>
      </w:r>
      <w:r>
        <w:rPr>
          <w:sz w:val="24"/>
        </w:rPr>
        <w:t>: ValueCo and the SPUC decide that the evidence to measure results is:</w:t>
      </w:r>
    </w:p>
    <w:p>
      <w:pPr>
        <w:pStyle w:val="BodyText"/>
        <w:numPr>
          <w:ilvl w:val="0"/>
          <w:numId w:val="7"/>
        </w:numPr>
        <w:tabs>
          <w:tab w:val="clear" w:pos="720"/>
          <w:tab w:val="left" w:pos="1080" w:leader="none"/>
        </w:tabs>
        <w:ind w:hanging="360" w:start="1080" w:end="0"/>
        <w:rPr>
          <w:sz w:val="24"/>
        </w:rPr>
      </w:pPr>
      <w:r>
        <w:rPr>
          <w:sz w:val="24"/>
        </w:rPr>
        <w:t>Compliance with national, state, and local regulations as determined by audit</w:t>
      </w:r>
    </w:p>
    <w:p>
      <w:pPr>
        <w:pStyle w:val="BodyText"/>
        <w:numPr>
          <w:ilvl w:val="0"/>
          <w:numId w:val="7"/>
        </w:numPr>
        <w:tabs>
          <w:tab w:val="clear" w:pos="720"/>
          <w:tab w:val="left" w:pos="1080" w:leader="none"/>
        </w:tabs>
        <w:ind w:hanging="360" w:start="1080" w:end="0"/>
        <w:rPr>
          <w:sz w:val="24"/>
        </w:rPr>
      </w:pPr>
      <w:r>
        <w:rPr>
          <w:sz w:val="24"/>
        </w:rPr>
        <w:t>A __ percent annual reduction in identified waste streams</w:t>
      </w:r>
    </w:p>
    <w:p>
      <w:pPr>
        <w:pStyle w:val="BodyText"/>
        <w:numPr>
          <w:ilvl w:val="0"/>
          <w:numId w:val="7"/>
        </w:numPr>
        <w:tabs>
          <w:tab w:val="clear" w:pos="720"/>
          <w:tab w:val="left" w:pos="1080" w:leader="none"/>
        </w:tabs>
        <w:ind w:hanging="360" w:start="1080" w:end="0"/>
        <w:rPr>
          <w:sz w:val="24"/>
        </w:rPr>
      </w:pPr>
      <w:r>
        <w:rPr>
          <w:sz w:val="24"/>
        </w:rPr>
        <w:t>General public awareness of ways to minimize the environmental impacts of the use of electricity, as measured by an agreed-upon survey</w:t>
      </w:r>
    </w:p>
    <w:p>
      <w:pPr>
        <w:pStyle w:val="BodyText"/>
        <w:rPr/>
      </w:pPr>
      <w:r>
        <w:rPr>
          <w:sz w:val="24"/>
          <w:u w:val="single"/>
        </w:rPr>
        <w:t>Accessibility</w:t>
      </w:r>
      <w:r>
        <w:rPr>
          <w:sz w:val="24"/>
        </w:rPr>
        <w:t>: ValueCo and the SPUC decide that the evidence to measure results is:</w:t>
      </w:r>
    </w:p>
    <w:p>
      <w:pPr>
        <w:pStyle w:val="BodyText"/>
        <w:numPr>
          <w:ilvl w:val="0"/>
          <w:numId w:val="14"/>
        </w:numPr>
        <w:tabs>
          <w:tab w:val="clear" w:pos="720"/>
          <w:tab w:val="left" w:pos="1125" w:leader="none"/>
        </w:tabs>
        <w:ind w:hanging="360" w:start="1125" w:end="0"/>
        <w:rPr>
          <w:sz w:val="24"/>
        </w:rPr>
      </w:pPr>
      <w:r>
        <w:rPr>
          <w:sz w:val="24"/>
        </w:rPr>
        <w:t>The availability of both telephone and web-based access to information</w:t>
      </w:r>
    </w:p>
    <w:p>
      <w:pPr>
        <w:pStyle w:val="BodyText"/>
        <w:numPr>
          <w:ilvl w:val="0"/>
          <w:numId w:val="14"/>
        </w:numPr>
        <w:tabs>
          <w:tab w:val="clear" w:pos="720"/>
          <w:tab w:val="left" w:pos="1125" w:leader="none"/>
        </w:tabs>
        <w:ind w:hanging="360" w:start="1125" w:end="0"/>
        <w:rPr>
          <w:sz w:val="24"/>
        </w:rPr>
      </w:pPr>
      <w:r>
        <w:rPr>
          <w:sz w:val="24"/>
        </w:rPr>
        <w:t>The promptness of response to inquiries</w:t>
      </w:r>
    </w:p>
    <w:p>
      <w:pPr>
        <w:pStyle w:val="BodyText"/>
        <w:numPr>
          <w:ilvl w:val="0"/>
          <w:numId w:val="14"/>
        </w:numPr>
        <w:tabs>
          <w:tab w:val="clear" w:pos="720"/>
          <w:tab w:val="left" w:pos="1125" w:leader="none"/>
        </w:tabs>
        <w:ind w:hanging="360" w:start="1125" w:end="0"/>
        <w:rPr>
          <w:sz w:val="24"/>
        </w:rPr>
      </w:pPr>
      <w:r>
        <w:rPr>
          <w:sz w:val="24"/>
        </w:rPr>
        <w:t>Awareness among constituent groups (users on the system, developers, local governments) of information about the electric distribution system and ValueCo’s policies that affect them, as measured by an agreed-upon survey</w:t>
      </w:r>
    </w:p>
    <w:p>
      <w:pPr>
        <w:pStyle w:val="BodyText"/>
        <w:numPr>
          <w:ilvl w:val="0"/>
          <w:numId w:val="14"/>
        </w:numPr>
        <w:tabs>
          <w:tab w:val="clear" w:pos="720"/>
          <w:tab w:val="left" w:pos="1125" w:leader="none"/>
        </w:tabs>
        <w:ind w:hanging="360" w:start="1125" w:end="0"/>
        <w:rPr>
          <w:sz w:val="24"/>
        </w:rPr>
      </w:pPr>
      <w:r>
        <w:rPr>
          <w:sz w:val="24"/>
        </w:rPr>
        <w:t>“</w:t>
      </w:r>
      <w:r>
        <w:rPr>
          <w:sz w:val="24"/>
        </w:rPr>
        <w:t>At fault” complaints in ValueCo’s  application of policies and procedures</w:t>
      </w:r>
    </w:p>
    <w:p>
      <w:pPr>
        <w:pStyle w:val="BodyText"/>
        <w:rPr>
          <w:b/>
          <w:sz w:val="24"/>
        </w:rPr>
      </w:pPr>
      <w:r>
        <w:rPr>
          <w:b/>
          <w:sz w:val="24"/>
        </w:rPr>
        <w:t>What is the scope?</w:t>
      </w:r>
    </w:p>
    <w:p>
      <w:pPr>
        <w:pStyle w:val="BodyText"/>
        <w:ind w:firstLine="720" w:end="0"/>
        <w:rPr>
          <w:sz w:val="24"/>
        </w:rPr>
      </w:pPr>
      <w:r>
        <w:rPr>
          <w:sz w:val="24"/>
        </w:rPr>
        <w:t>The identification of results allows ValueCo and the SPUC to begin determining scope.  This is an iterative process, driven by what activities and facilities the contract must cover to enable ValueCo to produce the desired results.  Stated somewhat differently, over what facilities and activities must ValueCo have control so that it is willing to accept responsibility for the contracted results?</w:t>
      </w:r>
    </w:p>
    <w:p>
      <w:pPr>
        <w:pStyle w:val="BodyText"/>
        <w:ind w:firstLine="720" w:end="0"/>
        <w:rPr>
          <w:sz w:val="24"/>
        </w:rPr>
      </w:pPr>
      <w:r>
        <w:rPr>
          <w:sz w:val="24"/>
        </w:rPr>
        <w:t>Assume for a moment, that ValueCo and the SPUC are working through the issue of scope in the context of reliability.  While they may already have agreed on the measurements ValueCo will employ, they now must agree on the point or points on the system at which ValueCo will measure reliability.  Possible choices are: at the junction of the service drop and a line that spans multiple service drops; at the meter; at the junction of wiring that distributes electricity within the home or business and the wiring that connects that home or business to the system.  With the “what” and “where” of a reliability result determined, ValueCo must ask itself:</w:t>
      </w:r>
    </w:p>
    <w:p>
      <w:pPr>
        <w:pStyle w:val="BodyText"/>
        <w:numPr>
          <w:ilvl w:val="0"/>
          <w:numId w:val="3"/>
        </w:numPr>
        <w:rPr>
          <w:sz w:val="24"/>
        </w:rPr>
      </w:pPr>
      <w:r>
        <w:rPr>
          <w:sz w:val="24"/>
        </w:rPr>
        <w:t>What facilities and activities will affect our performance of this result?  Here, the activities certainly include design, finance, construction, maintenance, repair/restoration, and replacement of the facilities up to and including the point of measurement.</w:t>
      </w:r>
    </w:p>
    <w:p>
      <w:pPr>
        <w:pStyle w:val="BodyText"/>
        <w:numPr>
          <w:ilvl w:val="0"/>
          <w:numId w:val="3"/>
        </w:numPr>
        <w:rPr>
          <w:sz w:val="24"/>
        </w:rPr>
      </w:pPr>
      <w:r>
        <w:rPr>
          <w:sz w:val="24"/>
        </w:rPr>
        <w:t>Can we adequately protect our ability to perform if someone not under our direction or control provides those facilities or performs those activities?  For example, ValueCo might be willing to assume responsibility for the reliability of facilities financed and constructed by another if those facilities complied with ValueCo’s published standards and it had the right to test them before accepting responsibility.  In contrast, ValueCo might not be willing to assume responsibility for outage duration results if someone else performed restoration activities.</w:t>
      </w:r>
    </w:p>
    <w:p>
      <w:pPr>
        <w:pStyle w:val="BodyText"/>
        <w:numPr>
          <w:ilvl w:val="0"/>
          <w:numId w:val="3"/>
        </w:numPr>
        <w:rPr>
          <w:sz w:val="24"/>
        </w:rPr>
      </w:pPr>
      <w:r>
        <w:rPr>
          <w:sz w:val="24"/>
        </w:rPr>
        <w:t>If we cannot adequately protect our ability to perform when someone not under our direction or control provides relevant facilities or activities, can we isolate the effects of their actions and/or facilities from our measurements?  And if so, is this exclusion acceptable to the SPUC?</w:t>
      </w:r>
    </w:p>
    <w:p>
      <w:pPr>
        <w:pStyle w:val="BodyText"/>
        <w:ind w:firstLine="720" w:end="0"/>
        <w:rPr/>
      </w:pPr>
      <w:r>
        <w:rPr>
          <w:sz w:val="24"/>
        </w:rPr>
        <w:t>Scope, in summary, simultaneously defines the boundaries of the system and the boundaries of competition and choice, at least for the term of the contract.  The results for which ValueCo is responsible will attach only to what is under its direction and control or what it accepts subject to pre-determined conditions.  Thus, exploring scope is critical to understanding when it is possible to isolate one or more desired results and either attach different price and other terms to them or define them out of the contract altogether.  Such separation could occur only when the facilities and activities related to the separated result(s) are separable from the activities and facilities important to other results at an acceptable economic consequence.</w:t>
      </w:r>
      <w:r>
        <w:rPr>
          <w:rStyle w:val="FootnoteCharacters"/>
          <w:rStyle w:val="FootnoteReference"/>
          <w:sz w:val="24"/>
        </w:rPr>
        <w:footnoteReference w:id="21"/>
      </w:r>
      <w:r>
        <w:rPr>
          <w:sz w:val="24"/>
        </w:rPr>
        <w:t xml:space="preserve">    Activities, assets, and results that ValueCo and the SPUC may want to consider excluding from the scope include:</w:t>
      </w:r>
    </w:p>
    <w:p>
      <w:pPr>
        <w:pStyle w:val="BodyText"/>
        <w:numPr>
          <w:ilvl w:val="0"/>
          <w:numId w:val="10"/>
        </w:numPr>
        <w:tabs>
          <w:tab w:val="clear" w:pos="720"/>
          <w:tab w:val="left" w:pos="540" w:leader="none"/>
        </w:tabs>
        <w:ind w:hanging="360" w:start="540" w:end="0"/>
        <w:rPr>
          <w:sz w:val="24"/>
        </w:rPr>
      </w:pPr>
      <w:r>
        <w:rPr>
          <w:sz w:val="24"/>
        </w:rPr>
        <w:t>Installing, maintaining, reading, and making available information from meters</w:t>
      </w:r>
      <w:r>
        <w:rPr>
          <w:rStyle w:val="FootnoteCharacters"/>
          <w:rStyle w:val="FootnoteReference"/>
          <w:sz w:val="24"/>
        </w:rPr>
        <w:footnoteReference w:id="22"/>
      </w:r>
    </w:p>
    <w:p>
      <w:pPr>
        <w:pStyle w:val="BodyText"/>
        <w:numPr>
          <w:ilvl w:val="0"/>
          <w:numId w:val="10"/>
        </w:numPr>
        <w:tabs>
          <w:tab w:val="clear" w:pos="720"/>
          <w:tab w:val="left" w:pos="540" w:leader="none"/>
        </w:tabs>
        <w:ind w:hanging="360" w:start="540" w:end="0"/>
        <w:rPr>
          <w:sz w:val="24"/>
        </w:rPr>
      </w:pPr>
      <w:r>
        <w:rPr>
          <w:sz w:val="24"/>
        </w:rPr>
        <w:t>Designing and installing new services</w:t>
      </w:r>
    </w:p>
    <w:p>
      <w:pPr>
        <w:pStyle w:val="BodyText"/>
        <w:numPr>
          <w:ilvl w:val="0"/>
          <w:numId w:val="10"/>
        </w:numPr>
        <w:tabs>
          <w:tab w:val="clear" w:pos="720"/>
          <w:tab w:val="left" w:pos="540" w:leader="none"/>
        </w:tabs>
        <w:ind w:hanging="360" w:start="540" w:end="0"/>
        <w:rPr>
          <w:sz w:val="24"/>
        </w:rPr>
      </w:pPr>
      <w:r>
        <w:rPr>
          <w:sz w:val="24"/>
        </w:rPr>
        <w:t>Billing and collecting revenues</w:t>
      </w:r>
    </w:p>
    <w:p>
      <w:pPr>
        <w:pStyle w:val="BodyText"/>
        <w:numPr>
          <w:ilvl w:val="0"/>
          <w:numId w:val="10"/>
        </w:numPr>
        <w:tabs>
          <w:tab w:val="clear" w:pos="720"/>
          <w:tab w:val="left" w:pos="540" w:leader="none"/>
        </w:tabs>
        <w:ind w:hanging="360" w:start="540" w:end="0"/>
        <w:rPr>
          <w:sz w:val="24"/>
        </w:rPr>
      </w:pPr>
      <w:r>
        <w:rPr>
          <w:sz w:val="24"/>
        </w:rPr>
        <w:t>Managing the balancing account needed to match amounts owed ValueCo with amounts collected under the user prices established by the SPUC</w:t>
      </w:r>
      <w:r>
        <w:rPr>
          <w:rStyle w:val="FootnoteCharacters"/>
          <w:rStyle w:val="FootnoteReference"/>
          <w:sz w:val="24"/>
        </w:rPr>
        <w:footnoteReference w:id="23"/>
      </w:r>
    </w:p>
    <w:p>
      <w:pPr>
        <w:pStyle w:val="BodyText"/>
        <w:rPr>
          <w:sz w:val="24"/>
        </w:rPr>
      </w:pPr>
      <w:r>
        <w:rPr>
          <w:sz w:val="24"/>
        </w:rPr>
        <w:t>Excluding them from the base distribution services contract does not mean that ValueCo might not perform them.  It simply would do so under a different contract, likely with a different term and different pricing.</w:t>
      </w:r>
    </w:p>
    <w:p>
      <w:pPr>
        <w:pStyle w:val="BodyText"/>
        <w:rPr>
          <w:sz w:val="24"/>
        </w:rPr>
      </w:pPr>
      <w:r>
        <w:rPr>
          <w:b/>
          <w:sz w:val="24"/>
        </w:rPr>
        <w:t>What are the constraints?</w:t>
      </w:r>
    </w:p>
    <w:p>
      <w:pPr>
        <w:pStyle w:val="BodyText"/>
        <w:ind w:firstLine="720" w:end="0"/>
        <w:rPr/>
      </w:pPr>
      <w:r>
        <w:rPr>
          <w:sz w:val="24"/>
        </w:rPr>
        <w:t>In the transition from a regulatory compact to a regulatory contract, ValueCo and the SPUC first will need to inventory the constraints on how ValueCo performs its services that exist in statutes and rules.  What ValueCo and the SPUC likely will discover is that many of the constraints on ValueCo are statutory constraints imposed to manage the effect of actions or decisions by ValueCo that could increase the costs included in cost of service regulation.  Because one of the purposes of the regulatory contract is to enable a permanent departure from cost of service regulation and the associated rate base, many of these restrictions can disappear once the contract is in place.  These include such restrictions as commonly exist regarding: ownership, mergers, and acquisitions; financing and capital structures;</w:t>
      </w:r>
      <w:r>
        <w:rPr>
          <w:rStyle w:val="FootnoteCharacters"/>
          <w:rStyle w:val="FootnoteReference"/>
          <w:sz w:val="24"/>
        </w:rPr>
        <w:footnoteReference w:id="24"/>
      </w:r>
      <w:r>
        <w:rPr>
          <w:sz w:val="24"/>
        </w:rPr>
        <w:t xml:space="preserve"> affiliated interest transactions; property sales; contracts between utilities; accounts; and depreciation practices.  Constraints that ValueCo and the SPUC must carefully evaluate are those on safety, consumer protection, discrimination, and meters.  For this 50,000-foot view, it is unnecessary to review these in detail here. Because constraints increase costs and stifle innovation, those which ValueCo and the SPUC agree must exist should be of sufficient value and/or necessity to outweigh the adverse consequences of their adoption.</w:t>
      </w:r>
    </w:p>
    <w:p>
      <w:pPr>
        <w:pStyle w:val="BodyText"/>
        <w:rPr>
          <w:sz w:val="24"/>
        </w:rPr>
      </w:pPr>
      <w:r>
        <w:rPr>
          <w:b/>
          <w:sz w:val="24"/>
        </w:rPr>
        <w:t>What are the consequences?</w:t>
      </w:r>
    </w:p>
    <w:p>
      <w:pPr>
        <w:pStyle w:val="BodyText"/>
        <w:ind w:firstLine="720" w:end="0"/>
        <w:rPr>
          <w:sz w:val="24"/>
        </w:rPr>
      </w:pPr>
      <w:r>
        <w:rPr>
          <w:sz w:val="24"/>
        </w:rPr>
        <w:t xml:space="preserve">Numerous choices exist as ValueCo and the SPUC work to define the consequences that will occur upon ValueCo’s failure to meet any of the results.  Unlike today’s disallowances, the consequences do not relate to amounts spent or proposed to be spent.  Rather, the consequences relate to the results.  The consequences may be monetary or not.  Monetary consequences may be positive, and scaled to increase the higher the performance; or negative, and scaled to increase the larger the gap.  In defining the consequences, ValueCo and the SPUC may decide to establish bands, rather than points, for some of the measures of evidence.  They may decide to lower a measure because the consequence is a penalty for falling below a minimum.  They may decide to raise a measure, because it is a goal toward which ValueCo will strive, with a positive reward should it reach it.  ValueCo and the SPUC may agree that, should ValueCo fail to achieve certain results over a certain period, the SPUC will have the right to terminate or re-negotiate the contract.  What remains of utmost importance is that the contract specify the consequences.  Known consequences enable good decisions; unknown consequences can paralyze.  </w:t>
      </w:r>
    </w:p>
    <w:p>
      <w:pPr>
        <w:pStyle w:val="BodyText"/>
        <w:rPr>
          <w:sz w:val="24"/>
        </w:rPr>
      </w:pPr>
      <w:r>
        <w:rPr>
          <w:b/>
          <w:sz w:val="24"/>
        </w:rPr>
        <w:t>What is the change process?</w:t>
      </w:r>
    </w:p>
    <w:p>
      <w:pPr>
        <w:pStyle w:val="BodyText"/>
        <w:ind w:firstLine="720" w:end="0"/>
        <w:rPr>
          <w:sz w:val="24"/>
        </w:rPr>
      </w:pPr>
      <w:r>
        <w:rPr>
          <w:sz w:val="24"/>
        </w:rPr>
        <w:t>The anticipation of major changes in the environment within which ValueCo operates and the SPUC regulates is a guide to the term the parties set for the contract. Within that term, however, nothing is as certain as that unanticipated things will happen that stress and challenge the carefully designed contract.  The change process sections honor the relationship that pre-dated and enabled the contract.  Some of the major decisions ValueCo and the SPUC must make include:</w:t>
      </w:r>
    </w:p>
    <w:p>
      <w:pPr>
        <w:pStyle w:val="BodyText"/>
        <w:numPr>
          <w:ilvl w:val="0"/>
          <w:numId w:val="5"/>
        </w:numPr>
        <w:tabs>
          <w:tab w:val="clear" w:pos="720"/>
          <w:tab w:val="left" w:pos="1080" w:leader="none"/>
        </w:tabs>
        <w:ind w:hanging="360" w:start="1080" w:end="0"/>
        <w:rPr>
          <w:sz w:val="24"/>
        </w:rPr>
      </w:pPr>
      <w:r>
        <w:rPr>
          <w:sz w:val="24"/>
        </w:rPr>
        <w:t>when and how the evidence by which they measure results will change;</w:t>
      </w:r>
    </w:p>
    <w:p>
      <w:pPr>
        <w:pStyle w:val="BodyText"/>
        <w:numPr>
          <w:ilvl w:val="0"/>
          <w:numId w:val="5"/>
        </w:numPr>
        <w:tabs>
          <w:tab w:val="clear" w:pos="720"/>
          <w:tab w:val="left" w:pos="1080" w:leader="none"/>
        </w:tabs>
        <w:ind w:hanging="360" w:start="1080" w:end="0"/>
        <w:rPr>
          <w:sz w:val="24"/>
        </w:rPr>
      </w:pPr>
      <w:r>
        <w:rPr>
          <w:sz w:val="24"/>
        </w:rPr>
        <w:t>when and how either may add or remove activities or facilities from the scope;</w:t>
      </w:r>
    </w:p>
    <w:p>
      <w:pPr>
        <w:pStyle w:val="BodyText"/>
        <w:numPr>
          <w:ilvl w:val="0"/>
          <w:numId w:val="5"/>
        </w:numPr>
        <w:tabs>
          <w:tab w:val="clear" w:pos="720"/>
          <w:tab w:val="left" w:pos="1080" w:leader="none"/>
        </w:tabs>
        <w:ind w:hanging="360" w:start="1080" w:end="0"/>
        <w:rPr>
          <w:sz w:val="24"/>
        </w:rPr>
      </w:pPr>
      <w:r>
        <w:rPr>
          <w:sz w:val="24"/>
        </w:rPr>
        <w:t>when and how either may add or remove results; and</w:t>
      </w:r>
    </w:p>
    <w:p>
      <w:pPr>
        <w:pStyle w:val="BodyText"/>
        <w:numPr>
          <w:ilvl w:val="0"/>
          <w:numId w:val="5"/>
        </w:numPr>
        <w:tabs>
          <w:tab w:val="clear" w:pos="720"/>
          <w:tab w:val="left" w:pos="1080" w:leader="none"/>
        </w:tabs>
        <w:ind w:hanging="360" w:start="1080" w:end="0"/>
        <w:rPr>
          <w:sz w:val="24"/>
        </w:rPr>
      </w:pPr>
      <w:r>
        <w:rPr>
          <w:sz w:val="24"/>
        </w:rPr>
        <w:t>what causes re-pricing.</w:t>
      </w:r>
    </w:p>
    <w:p>
      <w:pPr>
        <w:pStyle w:val="BodyText"/>
        <w:ind w:firstLine="720" w:end="0"/>
        <w:rPr>
          <w:sz w:val="24"/>
        </w:rPr>
      </w:pPr>
      <w:r>
        <w:rPr>
          <w:sz w:val="24"/>
        </w:rPr>
        <w:t xml:space="preserve">The process may include contract representatives that talk regularly, committees that consider proposed changes, and independent third parties that resolve disagreements about changes.  It matters much less what the process is than that the SPUC and ValueCo agree to it and honor it as the framework of how they interrelate with each other.  </w:t>
      </w:r>
    </w:p>
    <w:p>
      <w:pPr>
        <w:pStyle w:val="BodyText"/>
        <w:rPr>
          <w:sz w:val="24"/>
        </w:rPr>
      </w:pPr>
      <w:r>
        <w:rPr>
          <w:b/>
          <w:sz w:val="24"/>
        </w:rPr>
        <w:t>What is the term and what are the termination and unwind provisions?</w:t>
      </w:r>
    </w:p>
    <w:p>
      <w:pPr>
        <w:pStyle w:val="BodyText"/>
        <w:ind w:firstLine="720" w:end="0"/>
        <w:rPr>
          <w:sz w:val="24"/>
        </w:rPr>
      </w:pPr>
      <w:r>
        <w:rPr>
          <w:sz w:val="24"/>
        </w:rPr>
        <w:t>The initial term ought to be sufficiently long to allow ValueCo and the SPUC fully to realize their new roles.  Given the scope of the change in relationship, ten years is probably a minimum.  The length of the initial term after about ten years will likely depend on the period for which ValueCo and the SPUC are willing to commit to pricing terms.  As discussed below, changing prices (absent a change in scope) is not impossible during the term but it likely stresses the relationship and the parties should include it with caution.</w:t>
      </w:r>
    </w:p>
    <w:p>
      <w:pPr>
        <w:pStyle w:val="BodyText"/>
        <w:ind w:firstLine="720" w:end="0"/>
        <w:rPr>
          <w:sz w:val="24"/>
        </w:rPr>
      </w:pPr>
      <w:r>
        <w:rPr>
          <w:sz w:val="24"/>
        </w:rPr>
        <w:t>Several choices exist for the end of the initial term.  The parties might include an “evergreen clause,” under which the contract simply continues with all terms unchanged until either gives notice at the specified time.  The contract might allow either party to trigger re-negotiations and also allow the parties to agree to binding arbitration to settle differences of opinion on new terms, including pricing.  What is most critical, however, to transform the relationship between ValueCo and the SPUC to one of service provider and customer, rather than utility and economic regulator, is the possibility of real termination.</w:t>
      </w:r>
    </w:p>
    <w:p>
      <w:pPr>
        <w:pStyle w:val="BodyText"/>
        <w:ind w:firstLine="720" w:end="0"/>
        <w:rPr>
          <w:sz w:val="24"/>
        </w:rPr>
      </w:pPr>
      <w:r>
        <w:rPr>
          <w:sz w:val="24"/>
        </w:rPr>
        <w:t>The SPUC must be able to seek another service provider with the knowledge that processes exist whereby ValueCo will transfer physical assets to the new service provider and perform all services necessary to achieve the transition. Both the asset transfer and transition services should, of course, have price tags attached.  One possibility for the asset transfer is replacement cost less standardized depreciation based on vintage.  To ensure that customers do not bear the cost of stranded distribution facilities, this should cover only those facilities necessary to perform under the contract at the time of termination.  Transition services could be priced on time and materials, or some fixed basis.</w:t>
      </w:r>
    </w:p>
    <w:p>
      <w:pPr>
        <w:pStyle w:val="BodyText"/>
        <w:rPr>
          <w:b/>
          <w:sz w:val="24"/>
        </w:rPr>
      </w:pPr>
      <w:r>
        <w:rPr>
          <w:b/>
          <w:sz w:val="24"/>
        </w:rPr>
        <w:t>What is the price (or are the prices) and how does it (they) get collected?</w:t>
      </w:r>
    </w:p>
    <w:p>
      <w:pPr>
        <w:pStyle w:val="BodyText"/>
        <w:ind w:firstLine="720" w:end="0"/>
        <w:rPr>
          <w:sz w:val="24"/>
        </w:rPr>
      </w:pPr>
      <w:r>
        <w:rPr>
          <w:sz w:val="24"/>
        </w:rPr>
        <w:t>Price is the most powerful tool by which the contract either aligns, or fails to align, the success of ValueCo and the SPUC.  Our current “pricing” of distribution services fails the alignment test in both the short term and the long term.  In the short term, our usage-based prices means that the more electricity a utility delivers over the distribution network, the better it does, regardless whether all of that usage has value to individuals or society.  In the long term, the more distribution plant a utility can add, particularly without raising additional capital, the more it will “earn.”  These plant additions may not provide any value in terms of better results to the SPUC or the customers it represents.  They simply become “cost” and, at the extreme, produce negative value.  To align success, and drive the results the SPUC values, different pricing is needed.</w:t>
      </w:r>
    </w:p>
    <w:p>
      <w:pPr>
        <w:pStyle w:val="BodyText"/>
        <w:ind w:firstLine="720" w:end="0"/>
        <w:rPr>
          <w:sz w:val="24"/>
        </w:rPr>
      </w:pPr>
      <w:r>
        <w:rPr>
          <w:sz w:val="24"/>
        </w:rPr>
        <w:t>It is impossible to price without reference to scope which, in turn, ties closely to performance commitments.  Ideally, the contract prices a result, or groups of results, for maximum effectiveness.  For ValueCo and the SPUC, a number of key results relate to the health of the network, both for the points of delivery already present and all future points of delivery.  These results include reliability, safety, power quality, environmental responsibility, and accessibility.  To encourage the maximum amount of innovation and provide ValueCo the maximum flexibility, the contract may price all of these results as a unit price per point of delivery, such as the meter, or number of line miles, or some other measurable parameter that will drive the right optimization decisions.  Priced thus, the contract would drive ValueCo to maximize the points of delivery on the network but minimize the costs associated with maintaining the required reliability, quality, safety, environmental results, and accessibility for those points of delivery.</w:t>
      </w:r>
    </w:p>
    <w:p>
      <w:pPr>
        <w:pStyle w:val="BodyText"/>
        <w:ind w:firstLine="720" w:end="0"/>
        <w:rPr/>
      </w:pPr>
      <w:r>
        <w:rPr>
          <w:sz w:val="24"/>
        </w:rPr>
        <w:t>In contrast, as indicated above, if the contract priced these results based on usage of the network, average or peak, the driver becomes load/demand, rather than efficiency.  This is, in fact, how most states currently price distribution services.  While usage-based pricing encourages conservation by customers, it perversely encourages increased electricity sales by utilities.  During the 1990s, regulation attempted to overcome this through a variety of mechanisms that weakened or removed the effect of load variations on revenue.  While these mechanisms temporarily limited a utility’s ability to profit from increased volume on the distribution network, few also substituted other opportunities in its place.</w:t>
      </w:r>
      <w:r>
        <w:rPr>
          <w:rStyle w:val="FootnoteCharacters"/>
          <w:rStyle w:val="FootnoteReference"/>
          <w:sz w:val="24"/>
        </w:rPr>
        <w:footnoteReference w:id="25"/>
      </w:r>
      <w:r>
        <w:rPr>
          <w:sz w:val="24"/>
        </w:rPr>
        <w:t xml:space="preserve">  Needless to say, utilities were less than enthusiastic about the mechanisms and little changed.  Pricing ValueCo’s services instead on meters or some other parameter that optimizes what ValueCo and the SPUC want to optimize should change ValueCo’s paradigm and achieve noticeable results.  Because the SPUC need not collect on the same basis that it pays ValueCo, customer incentives to conserve can remain unchanged.</w:t>
      </w:r>
    </w:p>
    <w:p>
      <w:pPr>
        <w:pStyle w:val="BodyText"/>
        <w:ind w:firstLine="720" w:end="0"/>
        <w:rPr/>
      </w:pPr>
      <w:r>
        <w:rPr>
          <w:sz w:val="24"/>
        </w:rPr>
        <w:t>Assuming ValueCo and the CPUC choose a unit-based pricing scheme, an issue with which they must deal is the number of unpredictable activities, particularly those performed for only one or a few of a contract’s beneficiaries, included in the unit cost.  Indeed, this is how price begins to become iterative with scope.  For example, predictable activities related to the distribution system include maintenance, restoration, and the additions caused by normal growth in the usage of the system and highly correlated with the number of points of delivery on the system.  Unpredictable activities include moving significant amounts of facilities to accommodate road widening, changing the configuration and content of facilities because of a change in usage type or level at an existing point of delivery, or constructing new facilities to accommodate a large load with special quality requirements.</w:t>
      </w:r>
      <w:r>
        <w:rPr>
          <w:rStyle w:val="FootnoteCharacters"/>
          <w:rStyle w:val="FootnoteReference"/>
          <w:sz w:val="24"/>
        </w:rPr>
        <w:footnoteReference w:id="26"/>
      </w:r>
      <w:r>
        <w:rPr>
          <w:sz w:val="24"/>
        </w:rPr>
        <w:t xml:space="preserve">  Existing utility practices actually address this issue quite well, with line extension allowances and rules that allow individual charges for special work on the network.  The contract between ValueCo and the SPUC could simply continue, perhaps with some refinement, these policies. </w:t>
      </w:r>
    </w:p>
    <w:p>
      <w:pPr>
        <w:pStyle w:val="BodyText"/>
        <w:ind w:firstLine="720" w:end="0"/>
        <w:rPr/>
      </w:pPr>
      <w:r>
        <w:rPr>
          <w:sz w:val="24"/>
        </w:rPr>
        <w:t>ValueCo and the SPUC probably determine the initial pricing in a traditional rate case that includes not only test year results but also forecasts of future cost streams.  The parties could consider other evidence than simply ValueCo’s costs, however, including prices charged by entities providing similar services.  ValueCo and the SPUC must also decide if, during the initial term of the contract, the prices may change except in connection with a change in scope or desired results.</w:t>
      </w:r>
      <w:r>
        <w:rPr>
          <w:rStyle w:val="FootnoteCharacters"/>
          <w:rStyle w:val="FootnoteReference"/>
          <w:sz w:val="24"/>
        </w:rPr>
        <w:footnoteReference w:id="27"/>
      </w:r>
      <w:r>
        <w:rPr>
          <w:sz w:val="24"/>
        </w:rPr>
        <w:t xml:space="preserve">  For example, ValueCo may want the ability to change prices according to inflation indexes.  The SPUC may want the ability to change prices according to prices charged by entities providing similar services.  The final mix of these price re-openers is a matter for negotiation between the parties.  Overall, the goal of pricing should be to ensure that the contract delivers good economic value, defined as a lower price for the desired results than alternate suppliers or alternate means of achieving the results.</w:t>
      </w:r>
    </w:p>
    <w:p>
      <w:pPr>
        <w:pStyle w:val="BodyText"/>
        <w:ind w:firstLine="720" w:end="0"/>
        <w:rPr>
          <w:sz w:val="24"/>
        </w:rPr>
      </w:pPr>
      <w:r>
        <w:rPr>
          <w:sz w:val="24"/>
        </w:rPr>
        <w:t>As noted above, the price ValueCo charges under the contract with the SPUC need not be the price charged to users of the network.  For several reasons, it is actually preferable if the SPUC retains the ability to determine the price charged to network users.  First, given that many states still charge for distribution services based on usage, this separation allows the SPUC to continue this practice either for public policy reasons or to avoid dramatic cost shifts among consumers, or both.  Second, the separation allows the SPUC to change the design of the prices used to collect for amounts owed ValueCo during the term of the contract.  Third, as discussed in greater detail below, the separation accommodates allowing municipalities greater autonomy with respect to distribution services and pricing.</w:t>
      </w:r>
    </w:p>
    <w:p>
      <w:pPr>
        <w:pStyle w:val="BodyText"/>
        <w:jc w:val="center"/>
        <w:rPr>
          <w:sz w:val="24"/>
        </w:rPr>
      </w:pPr>
      <w:r>
        <w:rPr>
          <w:b/>
          <w:sz w:val="24"/>
        </w:rPr>
        <w:t>Section IV - A Local Option</w:t>
      </w:r>
    </w:p>
    <w:p>
      <w:pPr>
        <w:pStyle w:val="Normal"/>
        <w:spacing w:lineRule="auto" w:line="480"/>
        <w:ind w:firstLine="720" w:end="0"/>
        <w:jc w:val="both"/>
        <w:rPr>
          <w:sz w:val="24"/>
        </w:rPr>
      </w:pPr>
      <w:r>
        <w:rPr>
          <w:sz w:val="24"/>
        </w:rPr>
        <w:t xml:space="preserve">The regulatory contract framework has a side benefit of allowing differentiation in distribution services provided to various parts of a utilities’ service territory that are not practical or possible under the current regulatory system.  Continuing with our example of ValueCo and the SPUC, let’s assume that within ValueCo’s services territory is large City A.  City A has both needs and values that differ from the remainder of ValueCo’s service territory.  At the core of City A are a number of banks and other institutions that require highly reliable power.  City A also is attempting to re-vitalize older parts of the City with new high power quality industrial parks.  Finally, City A values energy efficiency and has adopted a goal of reducing carbon dioxide emissions in the City, along with several other specific environmental goals.  </w:t>
      </w:r>
    </w:p>
    <w:p>
      <w:pPr>
        <w:pStyle w:val="Normal"/>
        <w:spacing w:lineRule="auto" w:line="480"/>
        <w:ind w:firstLine="720" w:end="0"/>
        <w:jc w:val="both"/>
        <w:rPr/>
      </w:pPr>
      <w:r>
        <w:rPr>
          <w:sz w:val="24"/>
        </w:rPr>
        <w:t>Using the ValueCo/SPUC contract as a base, ValueCo and City A could then negotiate to add services and/or change the results.  City A may want 99.9 percent reliability in the downtown core.  It may want an allowance for moving/changing parts of the network to accommodate City development efforts.  It may want ValueCo to perform certain energy efficiency services for it.  City A and ValueCo negotiate the scope and pricing of these additional commitments, under the supervision of the SPUC or perhaps subject to arbitration by another entity.</w:t>
      </w:r>
      <w:r>
        <w:rPr>
          <w:rStyle w:val="FootnoteCharacters"/>
          <w:rStyle w:val="FootnoteReference"/>
          <w:sz w:val="24"/>
        </w:rPr>
        <w:footnoteReference w:id="28"/>
      </w:r>
      <w:r>
        <w:rPr>
          <w:sz w:val="24"/>
        </w:rPr>
        <w:t xml:space="preserve">  Once City A and ValueCo agree, City A then has the ability to design user charges within the City limits that recover not only the base charges of the SPUC/ValueCo contract but also the incremental charges associated with the additional services and results City A has negotiated.  Making ValueCo’s franchise co-terminus with the underlying contract would allow re-negotiation or termination of these additional services to occur in a coordinated manner with the overall contract.</w:t>
      </w:r>
    </w:p>
    <w:p>
      <w:pPr>
        <w:pStyle w:val="Normal"/>
        <w:spacing w:lineRule="auto" w:line="480"/>
        <w:ind w:firstLine="720" w:end="0"/>
        <w:jc w:val="both"/>
        <w:rPr>
          <w:sz w:val="24"/>
        </w:rPr>
      </w:pPr>
      <w:r>
        <w:rPr>
          <w:sz w:val="24"/>
        </w:rPr>
        <w:t>Facilitating local options may overcome some of the barriers that currently prevent consolidation between municipal or publicly-owned utilities and the investor-owned utilities that commonly surround them.  Indeed, one can envision a state or region deciding on the terms of a base distribution services contract to achieve overall goals of economic development and environmental impact, but then allowing local options of various types to accommodate local interests.  As the rest of the economic world becomes ever more interconnected, allowing islands of infrastructure that need not cooperate because of different ownership will become increasingly costly.</w:t>
      </w:r>
    </w:p>
    <w:p>
      <w:pPr>
        <w:pStyle w:val="Heading3"/>
        <w:ind w:hanging="0" w:start="0"/>
        <w:rPr/>
      </w:pPr>
      <w:r>
        <w:rPr/>
        <w:t>Section V - Of Customers with Large Loads</w:t>
      </w:r>
    </w:p>
    <w:p>
      <w:pPr>
        <w:pStyle w:val="Normal"/>
        <w:spacing w:lineRule="auto" w:line="480"/>
        <w:jc w:val="both"/>
        <w:rPr>
          <w:sz w:val="24"/>
        </w:rPr>
      </w:pPr>
      <w:r>
        <w:rPr>
          <w:sz w:val="24"/>
        </w:rPr>
        <w:tab/>
        <w:t>Virtually every distribution service territory has a handful of customers with very large loads and, at times, special distribution needs, such as higher-than-average reliability and quality or capability to follow significant power usage spikes.  Because the costs to construct, in particular, and maintain distribution facilities to meet these customers’ needs may be unpredictable, they do not fit well within the scope of the unit-priced aggregated distribution services contract discussed above.  Several means exist to address the needs of these customers, most – if not all – of whom are well used to negotiating their needs with suppliers.</w:t>
      </w:r>
    </w:p>
    <w:p>
      <w:pPr>
        <w:pStyle w:val="Normal"/>
        <w:spacing w:lineRule="auto" w:line="480"/>
        <w:jc w:val="both"/>
        <w:rPr>
          <w:sz w:val="24"/>
        </w:rPr>
      </w:pPr>
      <w:r>
        <w:rPr>
          <w:sz w:val="24"/>
        </w:rPr>
        <w:tab/>
        <w:t>For existing customers, one choice is to unbundle the costs (facilities and activities) associated with serving each such customer and enter into a series of individual contracts that define any differences in scope, performance expectations, etc. and establish the unit-based price for that customer.  This could be done simultaneously with the negotiation and pricing of the aggregated service contract between ValueCo and the SPUC.  For new customers of this nature, ValueCo and the customer could negotiate to reach agreement on the scope, performance commitments, and other parameters of service, with the resulting contract subject to SPUC review under pre-established review standards.  This option will work only if the customer has alternatives to any one of more of ValueCo’s services, including finance, design, construction, and maintenance services.</w:t>
      </w:r>
      <w:r>
        <w:rPr>
          <w:rStyle w:val="FootnoteCharacters"/>
          <w:rStyle w:val="FootnoteReference"/>
          <w:sz w:val="24"/>
        </w:rPr>
        <w:footnoteReference w:id="29"/>
      </w:r>
      <w:r>
        <w:rPr>
          <w:sz w:val="24"/>
        </w:rPr>
        <w:t xml:space="preserve">  Thus, ValueCo will need to establish standards for designs and construction work performed by others and have ways of reflecting on its maps and in its systems facilities owned by other entities.  </w:t>
      </w:r>
      <w:r>
        <w:rPr/>
        <w:t xml:space="preserve"> </w:t>
      </w:r>
    </w:p>
    <w:p>
      <w:pPr>
        <w:pStyle w:val="Heading3"/>
        <w:ind w:hanging="0" w:start="0"/>
        <w:rPr/>
      </w:pPr>
      <w:r>
        <w:rPr/>
        <w:t>Section VI - To Aspiration and Beyond</w:t>
      </w:r>
    </w:p>
    <w:p>
      <w:pPr>
        <w:pStyle w:val="BodyText2"/>
        <w:ind w:firstLine="720" w:end="0"/>
        <w:rPr/>
      </w:pPr>
      <w:r>
        <w:rPr/>
        <w:t>Does the process serve the aspiration?  Do results matter and will rewards follow results?  Are there only customers?  Will ValueCo and other utilities attract capital and  innovative people, and drive the adoption of new technologies and new practices into this somewhat sleepy industry?  Will feedback and dialogue enable us to move ever closer to our aspirations?  Obviously, we cannot know unless we try.  But one can imagine at least some benefits of adopting the process.</w:t>
      </w:r>
    </w:p>
    <w:p>
      <w:pPr>
        <w:pStyle w:val="Normal"/>
        <w:spacing w:lineRule="auto" w:line="480"/>
        <w:ind w:firstLine="720" w:end="0"/>
        <w:jc w:val="both"/>
        <w:rPr>
          <w:sz w:val="24"/>
        </w:rPr>
      </w:pPr>
      <w:r>
        <w:rPr>
          <w:sz w:val="24"/>
        </w:rPr>
        <w:t>From the perspective of customers and those who represent them, including regulators, the process overcomes our current inability to “force” a utility to achieve certain results.  The process of a regulatory contract is inherently pro-active and focused on doing the right things.  Customers also obtain a price certainty that does not currently exist and a foundation from which differentiation is possible.  Currently, competitors find it hard to design individual services for individual customers because it is usually unclear exactly where the utility stops and what the utility’s services are.  Indeed, many utilities use this ambiguity as a barrier to entry.  The precisely defined scope of the regulatory contract removes the ambiguity, making it clear both to the utility and to competitors where the regulated service stops and where customized services can begin.</w:t>
      </w:r>
    </w:p>
    <w:p>
      <w:pPr>
        <w:pStyle w:val="Normal"/>
        <w:spacing w:lineRule="auto" w:line="480"/>
        <w:ind w:firstLine="720" w:end="0"/>
        <w:jc w:val="both"/>
        <w:rPr/>
      </w:pPr>
      <w:r>
        <w:rPr>
          <w:sz w:val="24"/>
        </w:rPr>
        <w:t>Utilities gain benefits as well, which is fitting for a construct designed to promote win-win wherever possible.  The first benefit is abandoning the acrimonious, win-lose environment of a general rate case, with its focus on cost and activity rather than value and result and arcane debate about hypothetical costs of capital.  As significant as this is, however, the potential for the entity’s growth overshadows it completely.  No longer under cost of service regulation or restrictions on itself as an entity other than those any business must operate within,</w:t>
      </w:r>
      <w:r>
        <w:rPr>
          <w:rStyle w:val="FootnoteCharacters"/>
          <w:rStyle w:val="FootnoteReference"/>
          <w:sz w:val="24"/>
        </w:rPr>
        <w:footnoteReference w:id="30"/>
      </w:r>
      <w:r>
        <w:rPr>
          <w:sz w:val="24"/>
        </w:rPr>
        <w:t xml:space="preserve"> utilities can begin to look for other ways to give and receive value in the economy.   With the scope of its regulated service(s) defined, a utility can compete with others to offer differentiated infrastructure services and other products and services that make “more” from what it has: physical and intellectual assets, the “trust” of the residents and businesses in the communities it serves.  If our goal is more from less, it makes little sense to discourage utilities from finding multiple uses for their trucks or call centers or talented people.  One can imagine utilities branching into services to other local infrastructure owners, into retail products such as lighting and appliances, and into retail services – particularly those for which a strong local presence and years of reliable service are valuable.  Imagine, for example, a utility teaming with local appliance dealers to offer an appliance life cycle program under which, for some combination of up-front and monthly prices, the customer receives:</w:t>
      </w:r>
    </w:p>
    <w:p>
      <w:pPr>
        <w:pStyle w:val="Normal"/>
        <w:numPr>
          <w:ilvl w:val="0"/>
          <w:numId w:val="13"/>
        </w:numPr>
        <w:tabs>
          <w:tab w:val="clear" w:pos="720"/>
          <w:tab w:val="left" w:pos="420" w:leader="none"/>
        </w:tabs>
        <w:spacing w:lineRule="auto" w:line="480"/>
        <w:ind w:hanging="360" w:start="420" w:end="0"/>
        <w:jc w:val="both"/>
        <w:rPr>
          <w:sz w:val="24"/>
        </w:rPr>
      </w:pPr>
      <w:r>
        <w:rPr>
          <w:sz w:val="24"/>
        </w:rPr>
        <w:t>recycling of the old appliance being replaced,</w:t>
      </w:r>
    </w:p>
    <w:p>
      <w:pPr>
        <w:pStyle w:val="Normal"/>
        <w:numPr>
          <w:ilvl w:val="0"/>
          <w:numId w:val="13"/>
        </w:numPr>
        <w:tabs>
          <w:tab w:val="clear" w:pos="720"/>
          <w:tab w:val="left" w:pos="420" w:leader="none"/>
        </w:tabs>
        <w:spacing w:lineRule="auto" w:line="480"/>
        <w:ind w:hanging="360" w:start="420" w:end="0"/>
        <w:jc w:val="both"/>
        <w:rPr>
          <w:sz w:val="24"/>
        </w:rPr>
      </w:pPr>
      <w:r>
        <w:rPr>
          <w:sz w:val="24"/>
        </w:rPr>
        <w:t>repair services for the life of the new appliance, and</w:t>
      </w:r>
    </w:p>
    <w:p>
      <w:pPr>
        <w:pStyle w:val="Normal"/>
        <w:numPr>
          <w:ilvl w:val="0"/>
          <w:numId w:val="13"/>
        </w:numPr>
        <w:tabs>
          <w:tab w:val="clear" w:pos="720"/>
          <w:tab w:val="left" w:pos="420" w:leader="none"/>
        </w:tabs>
        <w:spacing w:lineRule="auto" w:line="480"/>
        <w:ind w:hanging="360" w:start="420" w:end="0"/>
        <w:jc w:val="both"/>
        <w:rPr>
          <w:sz w:val="24"/>
        </w:rPr>
      </w:pPr>
      <w:r>
        <w:rPr>
          <w:sz w:val="24"/>
        </w:rPr>
        <w:t>recycling of that appliance at the end of its life.</w:t>
      </w:r>
    </w:p>
    <w:p>
      <w:pPr>
        <w:pStyle w:val="BodyText2"/>
        <w:rPr/>
      </w:pPr>
      <w:r>
        <w:rPr/>
        <w:t>Nothing will limit the utility, or its ability to attract innovative people, other than imagination.</w:t>
      </w:r>
    </w:p>
    <w:p>
      <w:pPr>
        <w:pStyle w:val="BodyText2"/>
        <w:rPr/>
      </w:pPr>
      <w:r>
        <w:rPr/>
        <w:tab/>
        <w:t xml:space="preserve">Maintaining the current regulatory system leaves all stakeholders with a “heads you lose, tails you lose” outcome.  We would achieve our goals only by accident, if at all.  As we enter the next century, let us apply all we have learned over the last 100 years and start a new era of regulation that focuses on results, price, and the combination of both: value.  </w:t>
      </w:r>
    </w:p>
    <w:p>
      <w:pPr>
        <w:pStyle w:val="Normal"/>
        <w:spacing w:lineRule="auto" w:line="480"/>
        <w:jc w:val="both"/>
        <w:rPr>
          <w:sz w:val="24"/>
        </w:rPr>
      </w:pPr>
      <w:r>
        <w:rPr>
          <w:sz w:val="24"/>
        </w:rPr>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CONFIDENTIAL DRAFT</w:t>
      <w:tab/>
      <w:t>FOR DISCUSSION PURPOSES</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At least one state, Nevada, has set an allowed rate of return based on an analysis that the risks of distribution are lower.  The argument has arisen in many states, however, and could gain prominence as more states finish restructuring.</w:t>
      </w:r>
    </w:p>
  </w:footnote>
  <w:footnote w:id="3">
    <w:p>
      <w:pPr>
        <w:pStyle w:val="FootnoteText"/>
        <w:jc w:val="both"/>
        <w:rPr/>
      </w:pPr>
      <w:r>
        <w:rPr>
          <w:rStyle w:val="FootnoteCharacters"/>
        </w:rPr>
        <w:footnoteRef/>
      </w:r>
      <w:r>
        <w:rPr/>
        <w:t xml:space="preserve"> </w:t>
      </w:r>
      <w:r>
        <w:rPr/>
        <w:t>The situation is exacerbated in some restructuring states in which overzealous codes of conduct preclude the distribution entity from any business activity other than operating and investing in the “wires,” and threatened decreases in allowed returns on equity have left the distribution utility with little means to attract either capital or bright people.</w:t>
      </w:r>
    </w:p>
  </w:footnote>
  <w:footnote w:id="4">
    <w:p>
      <w:pPr>
        <w:pStyle w:val="FootnoteText"/>
        <w:jc w:val="both"/>
        <w:rPr/>
      </w:pPr>
      <w:r>
        <w:rPr>
          <w:rStyle w:val="FootnoteCharacters"/>
        </w:rPr>
        <w:footnoteRef/>
      </w:r>
      <w:r>
        <w:rPr/>
        <w:t xml:space="preserve"> </w:t>
      </w:r>
      <w:r>
        <w:rPr/>
        <w:t xml:space="preserve">A state need not have chosen to restructure its electric industry for questions of regulating electric distribution to be relevant.  While unbundling the components of current electric service is a precondition, retail access is not.  Unless the state also addresses regulation of the supply component, however, some of the benefits of changing the incentives around distribution will be lost to countervailing incentives produced by old-style regulation of generation and supply.  </w:t>
      </w:r>
    </w:p>
  </w:footnote>
  <w:footnote w:id="5">
    <w:p>
      <w:pPr>
        <w:pStyle w:val="FootnoteText"/>
        <w:jc w:val="both"/>
        <w:rPr/>
      </w:pPr>
      <w:r>
        <w:rPr>
          <w:rStyle w:val="FootnoteCharacters"/>
        </w:rPr>
        <w:footnoteRef/>
      </w:r>
      <w:r>
        <w:rPr/>
        <w:t xml:space="preserve"> </w:t>
      </w:r>
      <w:r>
        <w:rPr/>
        <w:t xml:space="preserve">By the late 1980s, however, and certainly in the 1990s, this system failed to produce significant utility investment in any one of the three vertically-integrated components: distribution, generation, or transmission.  We noticed the lack of investment in the generation component first, and began the pursuit of retail access.  But the decade also produced little transmission investment and uneven levels of distribution investment.    </w:t>
      </w:r>
    </w:p>
  </w:footnote>
  <w:footnote w:id="6">
    <w:p>
      <w:pPr>
        <w:pStyle w:val="FootnoteText"/>
        <w:jc w:val="both"/>
        <w:rPr/>
      </w:pPr>
      <w:r>
        <w:rPr>
          <w:rStyle w:val="FootnoteCharacters"/>
        </w:rPr>
        <w:footnoteRef/>
      </w:r>
      <w:r>
        <w:rPr/>
        <w:t xml:space="preserve"> </w:t>
      </w:r>
      <w:r>
        <w:rPr/>
        <w:t>Cost-based rates are no guarantor of low rates, in either for-profit or non-profit entities.  Nor are low rates any guarantor of value.  Value is a matter of what result one receives for what price compared to what one would spend to achieve the same result by other means.  Unless an organization defines and measures its success as achieving the lowest cost for the results desired, and can thrive by meeting this goal, it is unlikely to achieve it except by accident or other external factors.</w:t>
      </w:r>
    </w:p>
  </w:footnote>
  <w:footnote w:id="7">
    <w:p>
      <w:pPr>
        <w:pStyle w:val="FootnoteText"/>
        <w:jc w:val="both"/>
        <w:rPr/>
      </w:pPr>
      <w:r>
        <w:rPr>
          <w:rStyle w:val="FootnoteCharacters"/>
        </w:rPr>
        <w:footnoteRef/>
      </w:r>
      <w:r>
        <w:rPr/>
        <w:t xml:space="preserve"> </w:t>
      </w:r>
      <w:r>
        <w:rPr/>
        <w:t xml:space="preserve">One would hope that we could avoid the redundant systems that have become so common in telecommunications.  Many cities will soon have two, three, or even four redundant systems of fiber optics, cable, and copper-based telecommunications infrastructure.  Permitting duplicative infrastructure is a heavy price to pay to achieve the benefits of innovation and competition.  If we fail adequately to address the challenges coming with respect to electric distribution, this is exactly where we might head, however. </w:t>
      </w:r>
    </w:p>
  </w:footnote>
  <w:footnote w:id="8">
    <w:p>
      <w:pPr>
        <w:pStyle w:val="FootnoteText"/>
        <w:jc w:val="both"/>
        <w:rPr/>
      </w:pPr>
      <w:r>
        <w:rPr>
          <w:rStyle w:val="FootnoteCharacters"/>
        </w:rPr>
        <w:footnoteRef/>
      </w:r>
      <w:r>
        <w:rPr/>
        <w:t xml:space="preserve"> </w:t>
      </w:r>
      <w:r>
        <w:rPr/>
        <w:t>Many of the prescriptive systems we put in place during the last 100 years to achieve particular results have failed as changes overtook either the prescription, the desired results or both.  Just has science has learned that Newton’s mechanistic view of the world has little in common with the chaotic and fractal reality we live in, our next generation of systems must become less mechanistic.  We must design for uncertainty and work in a direction, not to an end-state.</w:t>
      </w:r>
    </w:p>
  </w:footnote>
  <w:footnote w:id="9">
    <w:p>
      <w:pPr>
        <w:pStyle w:val="FootnoteText"/>
        <w:jc w:val="both"/>
        <w:rPr/>
      </w:pPr>
      <w:r>
        <w:rPr>
          <w:rStyle w:val="FootnoteCharacters"/>
        </w:rPr>
        <w:footnoteRef/>
      </w:r>
      <w:r>
        <w:rPr/>
        <w:t xml:space="preserve"> </w:t>
      </w:r>
      <w:r>
        <w:rPr/>
        <w:t xml:space="preserve">Section III, A Practical Application, expands upon this situation of aggregated customers in the context of an agreement between a hypothetical state public utility commission and a hypothetical distribution utility.  </w:t>
      </w:r>
    </w:p>
  </w:footnote>
  <w:footnote w:id="10">
    <w:p>
      <w:pPr>
        <w:pStyle w:val="FootnoteText"/>
        <w:jc w:val="both"/>
        <w:rPr/>
      </w:pPr>
      <w:r>
        <w:rPr>
          <w:rStyle w:val="FootnoteCharacters"/>
        </w:rPr>
        <w:footnoteRef/>
      </w:r>
      <w:r>
        <w:rPr/>
        <w:t xml:space="preserve"> </w:t>
      </w:r>
      <w:r>
        <w:rPr/>
        <w:t>Section V expands on this briefly, discussing arrangements between a hypothetical distribution utility and a hypothetical customer with a large load.</w:t>
      </w:r>
    </w:p>
  </w:footnote>
  <w:footnote w:id="11">
    <w:p>
      <w:pPr>
        <w:pStyle w:val="FootnoteText"/>
        <w:jc w:val="both"/>
        <w:rPr/>
      </w:pPr>
      <w:r>
        <w:rPr>
          <w:rStyle w:val="FootnoteCharacters"/>
        </w:rPr>
        <w:footnoteRef/>
      </w:r>
      <w:r>
        <w:rPr/>
        <w:t xml:space="preserve"> </w:t>
      </w:r>
      <w:r>
        <w:rPr/>
        <w:t>In essence, this is the notion of a whole product, which is defined as that combination of product/service that enables the customer to achieve the results expected when he or she bought the product.  In the high-tech world, where this concept took life, the need to create whole products has resulted in a vast number of strategic alliances as companies seek the right combination to deliver on customer expectations.</w:t>
      </w:r>
    </w:p>
  </w:footnote>
  <w:footnote w:id="12">
    <w:p>
      <w:pPr>
        <w:pStyle w:val="FootnoteText"/>
        <w:jc w:val="both"/>
        <w:rPr/>
      </w:pPr>
      <w:r>
        <w:rPr>
          <w:rStyle w:val="FootnoteCharacters"/>
        </w:rPr>
        <w:footnoteRef/>
      </w:r>
      <w:r>
        <w:rPr/>
        <w:t xml:space="preserve"> </w:t>
      </w:r>
      <w:r>
        <w:rPr/>
        <w:t xml:space="preserve">This is a hardware/software phenomenon, under which designers built the products using standards and protocols available to all so that other designers/companies could easily expand upon them, customize them, or otherwise add value to them.  </w:t>
      </w:r>
    </w:p>
  </w:footnote>
  <w:footnote w:id="13">
    <w:p>
      <w:pPr>
        <w:pStyle w:val="FootnoteText"/>
        <w:jc w:val="both"/>
        <w:rPr/>
      </w:pPr>
      <w:r>
        <w:rPr>
          <w:rStyle w:val="FootnoteCharacters"/>
        </w:rPr>
        <w:footnoteRef/>
      </w:r>
      <w:r>
        <w:rPr/>
        <w:t xml:space="preserve"> </w:t>
      </w:r>
      <w:r>
        <w:rPr/>
        <w:t>At a minimum, our aspiration should be that distribution utilities accommodate the new technologies, rather than contest them.  But a better aspiration is that the utilities themselves, who have the expertise to find valuable application of technology the fastest, actually drive its adoption.</w:t>
      </w:r>
    </w:p>
  </w:footnote>
  <w:footnote w:id="14">
    <w:p>
      <w:pPr>
        <w:pStyle w:val="FootnoteText"/>
        <w:jc w:val="both"/>
        <w:rPr/>
      </w:pPr>
      <w:r>
        <w:rPr>
          <w:rStyle w:val="FootnoteCharacters"/>
        </w:rPr>
        <w:footnoteRef/>
      </w:r>
      <w:r>
        <w:rPr/>
        <w:t xml:space="preserve"> </w:t>
      </w:r>
      <w:r>
        <w:rPr/>
        <w:t>Not every regulatory proceeding is a rate case, of course, and not every interaction between utility and regulator or customer is contentious.  Notable exceptions of late have been the proceedings and interactions focused on creating restructured markets.  Nonetheless, for distribution in particular, the defining characteristic of the relationship remains the rate case.</w:t>
      </w:r>
    </w:p>
  </w:footnote>
  <w:footnote w:id="15">
    <w:p>
      <w:pPr>
        <w:pStyle w:val="FootnoteText"/>
        <w:jc w:val="both"/>
        <w:rPr/>
      </w:pPr>
      <w:r>
        <w:rPr>
          <w:rStyle w:val="FootnoteCharacters"/>
        </w:rPr>
        <w:footnoteRef/>
      </w:r>
      <w:r>
        <w:rPr/>
        <w:t xml:space="preserve"> </w:t>
      </w:r>
      <w:r>
        <w:rPr/>
        <w:t>At the turn of the last century, commercial services were uncommon and those that did exist were generally of a short-term nature.  Now, of course, we have companies such as EDS whose sole purpose is to provide results.  In its unending pursuit for higher value and differentiation, the economy is moving ever more into a services world and away from straight products.  Recently, both IBM and GE made major shifts away from products into services.  This trend will likely continue, with product sellers and service sellers combining themselves in various ways to offer a result.</w:t>
      </w:r>
    </w:p>
  </w:footnote>
  <w:footnote w:id="16">
    <w:p>
      <w:pPr>
        <w:pStyle w:val="FootnoteText"/>
        <w:jc w:val="both"/>
        <w:rPr/>
      </w:pPr>
      <w:r>
        <w:rPr>
          <w:rStyle w:val="FootnoteCharacters"/>
        </w:rPr>
        <w:footnoteRef/>
      </w:r>
      <w:r>
        <w:rPr/>
        <w:t xml:space="preserve"> </w:t>
      </w:r>
      <w:r>
        <w:rPr/>
        <w:t xml:space="preserve">Comparing the typical statutory language of “adequate service at just and reasonable rates” with the scope statement of a typical services contract is instructive.  No rational commercial party would sign a contract in which the buyer says: “I’ll tell you later, through a cost disallowance or penalty, whether you are doing the right things and, by the way, if you make too much money by doing things smarter, I’ll lower the price.”  </w:t>
      </w:r>
    </w:p>
  </w:footnote>
  <w:footnote w:id="17">
    <w:p>
      <w:pPr>
        <w:pStyle w:val="FootnoteText"/>
        <w:jc w:val="both"/>
        <w:rPr/>
      </w:pPr>
      <w:r>
        <w:rPr>
          <w:rStyle w:val="FootnoteCharacters"/>
        </w:rPr>
        <w:footnoteRef/>
      </w:r>
      <w:r>
        <w:rPr/>
        <w:t xml:space="preserve"> </w:t>
      </w:r>
      <w:r>
        <w:rPr/>
        <w:t>Regulators are also likely continue to bear responsibility for safety and to exercise oversight over consumer protection.</w:t>
      </w:r>
    </w:p>
  </w:footnote>
  <w:footnote w:id="18">
    <w:p>
      <w:pPr>
        <w:pStyle w:val="FootnoteText"/>
        <w:jc w:val="both"/>
        <w:rPr/>
      </w:pPr>
      <w:r>
        <w:rPr>
          <w:rStyle w:val="FootnoteCharacters"/>
        </w:rPr>
        <w:footnoteRef/>
      </w:r>
      <w:r>
        <w:rPr/>
        <w:t xml:space="preserve"> </w:t>
      </w:r>
      <w:r>
        <w:rPr/>
        <w:t xml:space="preserve">This would undoubtedly require that someone perform one additional service: balancing collections with outlays.  This is a purely financial service that regulators ought to be able to obtain pursuant to bid.  </w:t>
      </w:r>
    </w:p>
  </w:footnote>
  <w:footnote w:id="19">
    <w:p>
      <w:pPr>
        <w:pStyle w:val="FootnoteText"/>
        <w:jc w:val="both"/>
        <w:rPr/>
      </w:pPr>
      <w:r>
        <w:rPr>
          <w:rStyle w:val="FootnoteCharacters"/>
        </w:rPr>
        <w:footnoteRef/>
      </w:r>
      <w:r>
        <w:rPr/>
        <w:t xml:space="preserve"> </w:t>
      </w:r>
      <w:r>
        <w:rPr/>
        <w:t>Electric distribution services are not the only candidates for regulatory contracts.  Depending upon a state’s position with respect to retail competition, generation/supply services could also be covered in a regulatory contract, as could demand-side services.  The aspirations we define should be sufficiently clear to allow us to construct a filter that we can use to determine whether additional services ought to be the subject of aggregation contracts managed by a regulator or other aggregator on behalf of a group of customers.</w:t>
      </w:r>
    </w:p>
  </w:footnote>
  <w:footnote w:id="20">
    <w:p>
      <w:pPr>
        <w:pStyle w:val="FootnoteText"/>
        <w:jc w:val="both"/>
        <w:rPr/>
      </w:pPr>
      <w:r>
        <w:rPr>
          <w:rStyle w:val="FootnoteCharacters"/>
        </w:rPr>
        <w:footnoteRef/>
      </w:r>
      <w:r>
        <w:rPr/>
        <w:t xml:space="preserve"> </w:t>
      </w:r>
      <w:r>
        <w:rPr/>
        <w:t xml:space="preserve">In this context, the SPUC must reflect not only its own values, but those of the customers who will use or interact with the distribution company’s services as well.  That group certainly includes the customers of the services, but also other infrastructure owners and local governments as well.  </w:t>
      </w:r>
    </w:p>
  </w:footnote>
  <w:footnote w:id="21">
    <w:p>
      <w:pPr>
        <w:pStyle w:val="FootnoteText"/>
        <w:jc w:val="both"/>
        <w:rPr/>
      </w:pPr>
      <w:r>
        <w:rPr>
          <w:rStyle w:val="FootnoteCharacters"/>
        </w:rPr>
        <w:footnoteRef/>
      </w:r>
      <w:r>
        <w:rPr/>
        <w:t xml:space="preserve"> </w:t>
      </w:r>
      <w:r>
        <w:rPr/>
        <w:t xml:space="preserve">It would almost always be possible to separate one or more results with a duplication of facilities and activities.  But the benefits of doing so should outweigh the costs of whatever duplication is necessary to make this happen.  For example, some have suggested separating customer service from electric distribution utilities.  Assuming the utility remains responsible for reliability, however, the scope of its contract to do so likely must include some facilities and activities related to obtaining information </w:t>
      </w:r>
      <w:r>
        <w:rPr>
          <w:u w:val="single"/>
        </w:rPr>
        <w:t>from</w:t>
      </w:r>
      <w:r>
        <w:rPr/>
        <w:t xml:space="preserve"> customers on outages.  If someone else’s direction and control of the facilities and activities related to outage reporting negatively affects the utility’s willingness to assume responsibility for reliability, the only option may be to establish separate systems, with some duplication of facilities and activities and some loss of economic efficiency.  </w:t>
      </w:r>
    </w:p>
  </w:footnote>
  <w:footnote w:id="22">
    <w:p>
      <w:pPr>
        <w:pStyle w:val="FootnoteText"/>
        <w:jc w:val="both"/>
        <w:rPr/>
      </w:pPr>
      <w:r>
        <w:rPr>
          <w:rStyle w:val="FootnoteCharacters"/>
        </w:rPr>
        <w:footnoteRef/>
      </w:r>
      <w:r>
        <w:rPr/>
        <w:t xml:space="preserve"> </w:t>
      </w:r>
      <w:r>
        <w:rPr/>
        <w:t>Some states have already decided that metering should be a competitive service.  If the SPUC thought that it’s state might soon make a similar choice, it could exclude metering from the scope and put it in a separate contract with a shorter term than the distribution services contract.</w:t>
      </w:r>
    </w:p>
  </w:footnote>
  <w:footnote w:id="23">
    <w:p>
      <w:pPr>
        <w:pStyle w:val="FootnoteText"/>
        <w:jc w:val="both"/>
        <w:rPr/>
      </w:pPr>
      <w:r>
        <w:rPr>
          <w:rStyle w:val="FootnoteCharacters"/>
        </w:rPr>
        <w:footnoteRef/>
      </w:r>
      <w:r>
        <w:rPr/>
        <w:t xml:space="preserve"> </w:t>
      </w:r>
      <w:r>
        <w:rPr/>
        <w:t>One of the features of this plan is that it allows the SPUC to design charges to users of the distribution system on a basis different than what ValueCo receives for services under the contract.  Making these different, however, will probably require that someone perform a financial service to match collections from users with amounts owed ValueCo.  At times, collections will exceed amounts owed and, at times, the reverse will be true.  While ValueCo could perform this balancing, the SPUC could also decide to offer it under a competitive bid.</w:t>
      </w:r>
    </w:p>
  </w:footnote>
  <w:footnote w:id="24">
    <w:p>
      <w:pPr>
        <w:pStyle w:val="FootnoteText"/>
        <w:jc w:val="both"/>
        <w:rPr/>
      </w:pPr>
      <w:r>
        <w:rPr>
          <w:rStyle w:val="FootnoteCharacters"/>
        </w:rPr>
        <w:footnoteRef/>
      </w:r>
      <w:r>
        <w:rPr/>
        <w:t xml:space="preserve"> </w:t>
      </w:r>
      <w:r>
        <w:rPr/>
        <w:t>The SPUC may want the ability, however, to monitor ValueCo’s compliance with certain indicators of financial health so that the SPUC has adequate time to make other arrangements should ValueCo suffer financial failure.</w:t>
      </w:r>
    </w:p>
  </w:footnote>
  <w:footnote w:id="25">
    <w:p>
      <w:pPr>
        <w:pStyle w:val="FootnoteText"/>
        <w:jc w:val="both"/>
        <w:rPr/>
      </w:pPr>
      <w:r>
        <w:rPr>
          <w:rStyle w:val="FootnoteCharacters"/>
        </w:rPr>
        <w:footnoteRef/>
      </w:r>
      <w:r>
        <w:rPr/>
        <w:t xml:space="preserve"> </w:t>
      </w:r>
      <w:r>
        <w:rPr/>
        <w:t xml:space="preserve">A few decoupling mechanisms provided earnings incentives for energy efficiency or other desired activities/results that did change the operating paradigm of the affected utilities in the short term.  Because none of these mechanisms addressed long term issues related to rate base, however, they generally did not change how the affected utilities made long-term decisions. </w:t>
      </w:r>
    </w:p>
  </w:footnote>
  <w:footnote w:id="26">
    <w:p>
      <w:pPr>
        <w:pStyle w:val="FootnoteText"/>
        <w:jc w:val="both"/>
        <w:rPr/>
      </w:pPr>
      <w:r>
        <w:rPr>
          <w:rStyle w:val="FootnoteCharacters"/>
        </w:rPr>
        <w:footnoteRef/>
      </w:r>
      <w:r>
        <w:rPr/>
        <w:t xml:space="preserve"> </w:t>
      </w:r>
      <w:r>
        <w:rPr/>
        <w:t xml:space="preserve">See section V below.    </w:t>
      </w:r>
    </w:p>
  </w:footnote>
  <w:footnote w:id="27">
    <w:p>
      <w:pPr>
        <w:pStyle w:val="FootnoteText"/>
        <w:jc w:val="both"/>
        <w:rPr/>
      </w:pPr>
      <w:r>
        <w:rPr>
          <w:rStyle w:val="FootnoteCharacters"/>
        </w:rPr>
        <w:footnoteRef/>
      </w:r>
      <w:r>
        <w:rPr/>
        <w:t xml:space="preserve"> </w:t>
      </w:r>
      <w:r>
        <w:rPr/>
        <w:t>For example, if the SPUC decides during the initial term that it wants DistribuCo to provide a higher level of reliability,  the change should occur only if DistribuCo is allowed a price change.  This would be part of the change process discussed above.</w:t>
      </w:r>
    </w:p>
  </w:footnote>
  <w:footnote w:id="28">
    <w:p>
      <w:pPr>
        <w:pStyle w:val="FootnoteText"/>
        <w:jc w:val="both"/>
        <w:rPr/>
      </w:pPr>
      <w:r>
        <w:rPr>
          <w:rStyle w:val="FootnoteCharacters"/>
        </w:rPr>
        <w:footnoteRef/>
      </w:r>
      <w:r>
        <w:rPr/>
        <w:t xml:space="preserve"> </w:t>
      </w:r>
      <w:r>
        <w:rPr/>
        <w:t xml:space="preserve">This proposal comes closer to resolving historical conflicts between state and local authority over utilities than the current regulatory system but does not eliminate them.  It would still not be possible for City A to have a different service provider than the SPUC chose, or to have a lower level of service than that provided in the service territory.  After the initial term, however, City A can participate in whatever process the SPUC uses to decide whether to extend, renegotiate or terminate the contract and, if termination is the decision, select a new service provider.  </w:t>
      </w:r>
    </w:p>
  </w:footnote>
  <w:footnote w:id="29">
    <w:p>
      <w:pPr>
        <w:pStyle w:val="FootnoteText"/>
        <w:jc w:val="both"/>
        <w:rPr/>
      </w:pPr>
      <w:r>
        <w:rPr>
          <w:rStyle w:val="FootnoteCharacters"/>
        </w:rPr>
        <w:footnoteRef/>
      </w:r>
      <w:r>
        <w:rPr/>
        <w:t xml:space="preserve"> </w:t>
      </w:r>
      <w:r>
        <w:rPr/>
        <w:t xml:space="preserve">It is unlikely that ValueCo could practically or efficiently accommodate another’s operation of distribution facilities interconnected with and part of ValueCo’s system.  If no alternative exists for a certain component of service, the only alternative is to have the SPUC set a price for that service.  Again, this could be done in the initial rate case used to price the aggregated service contract and the individual service contracts.  </w:t>
      </w:r>
    </w:p>
  </w:footnote>
  <w:footnote w:id="30">
    <w:p>
      <w:pPr>
        <w:pStyle w:val="FootnoteText"/>
        <w:jc w:val="both"/>
        <w:rPr/>
      </w:pPr>
      <w:r>
        <w:rPr>
          <w:rStyle w:val="FootnoteCharacters"/>
        </w:rPr>
        <w:footnoteRef/>
      </w:r>
      <w:r>
        <w:rPr/>
        <w:t xml:space="preserve"> </w:t>
      </w:r>
      <w:r>
        <w:rPr/>
        <w:t>Utilities would remain subject to anti-trust laws, environmental laws, labor laws, and the full panoply of regulation that applies to every business.  Removing the economic “entity” regulation we now impose merely puts utilities on even ground with other competitors; it does not give them any special advantages.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uto" w:line="480"/>
      <w:jc w:val="center"/>
      <w:outlineLvl w:val="0"/>
    </w:pPr>
    <w:rPr>
      <w:b/>
    </w:rPr>
  </w:style>
  <w:style w:type="paragraph" w:styleId="Heading2">
    <w:name w:val="heading 2"/>
    <w:basedOn w:val="Normal"/>
    <w:next w:val="Normal"/>
    <w:qFormat/>
    <w:pPr>
      <w:keepNext w:val="true"/>
      <w:numPr>
        <w:ilvl w:val="1"/>
        <w:numId w:val="1"/>
      </w:numPr>
      <w:spacing w:lineRule="auto" w:line="480"/>
      <w:jc w:val="both"/>
      <w:outlineLvl w:val="1"/>
    </w:pPr>
    <w:rPr>
      <w:b/>
    </w:rPr>
  </w:style>
  <w:style w:type="paragraph" w:styleId="Heading3">
    <w:name w:val="heading 3"/>
    <w:basedOn w:val="Normal"/>
    <w:next w:val="Normal"/>
    <w:qFormat/>
    <w:pPr>
      <w:keepNext w:val="true"/>
      <w:numPr>
        <w:ilvl w:val="2"/>
        <w:numId w:val="1"/>
      </w:numPr>
      <w:spacing w:lineRule="auto" w:line="480"/>
      <w:jc w:val="center"/>
      <w:outlineLvl w:val="2"/>
    </w:pPr>
    <w:rPr>
      <w:b/>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auto" w:line="480"/>
      <w:jc w:val="both"/>
    </w:pPr>
    <w:rPr>
      <w:sz w:val="24"/>
    </w:rPr>
  </w:style>
  <w:style w:type="paragraph" w:styleId="BodyTextIndent">
    <w:name w:val="Body Text Indent"/>
    <w:basedOn w:val="Normal"/>
    <w:pPr>
      <w:spacing w:lineRule="auto" w:line="480"/>
      <w:ind w:firstLine="720" w:start="0" w:end="0"/>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2000-01-15T18:58:00Z</dcterms:created>
  <dc:creator>Pamela Grace Lesh</dc:creator>
  <dc:description/>
  <dc:language>en-CA</dc:language>
  <cp:lastModifiedBy>Pamela Grace Lesh</cp:lastModifiedBy>
  <dcterms:modified xsi:type="dcterms:W3CDTF">2000-02-09T17:28:00Z</dcterms:modified>
  <cp:revision>48</cp:revision>
  <dc:subject/>
  <dc:title>A NEW DISTRIBUTION REGULATORY FRAMEWORK</dc:title>
</cp:coreProperties>
</file>