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w:t>
      </w:r>
      <w:r>
        <w:rPr/>
        <w:t>A Clear and Present Danger”</w:t>
      </w:r>
    </w:p>
    <w:p>
      <w:pPr>
        <w:pStyle w:val="Heading4"/>
        <w:ind w:hanging="0" w:start="0"/>
        <w:rPr/>
      </w:pPr>
      <w:r>
        <w:rPr/>
        <w:t>Furnas- Cuiaba  Negotiating options</w:t>
      </w:r>
    </w:p>
    <w:p>
      <w:pPr>
        <w:pStyle w:val="Normal"/>
        <w:rPr>
          <w:b/>
          <w:sz w:val="24"/>
        </w:rPr>
      </w:pPr>
      <w:r>
        <w:rPr>
          <w:b/>
          <w:sz w:val="24"/>
        </w:rPr>
      </w:r>
    </w:p>
    <w:p>
      <w:pPr>
        <w:pStyle w:val="Normal"/>
        <w:rPr>
          <w:b/>
          <w:sz w:val="24"/>
        </w:rPr>
      </w:pPr>
      <w:r>
        <w:rPr>
          <w:b/>
          <w:sz w:val="24"/>
        </w:rPr>
      </w:r>
    </w:p>
    <w:p>
      <w:pPr>
        <w:pStyle w:val="Normal"/>
        <w:rPr/>
      </w:pPr>
      <w:r>
        <w:rPr/>
        <w:t xml:space="preserve">This is not the movie script. It refers to the stage we must enter in the negotiations to break the impasse with Furnas in regards to the Lender’s Consent documents.  </w:t>
      </w:r>
    </w:p>
    <w:p>
      <w:pPr>
        <w:pStyle w:val="Normal"/>
        <w:rPr/>
      </w:pPr>
      <w:r>
        <w:rPr/>
      </w:r>
    </w:p>
    <w:p>
      <w:pPr>
        <w:pStyle w:val="Normal"/>
        <w:rPr/>
      </w:pPr>
      <w:r>
        <w:rPr/>
        <w:t>Furnas is being shamelessly opportunistic, leveraging our need to get the Consent to close financing as a means to renegotiate the Contract. They will not bulge unless they are led to believe that their stand presents a clear and present danger.  I stress clear and present danger because they have shown recently a reckless disregard of public opinion in regards to the Angra II – MAE obligations.  We must keep in mind that Furnas is a unique organization in the midst of  a privatization political agenda. The incumbents measure of danger is loosing control to outsiders.</w:t>
      </w:r>
    </w:p>
    <w:p>
      <w:pPr>
        <w:pStyle w:val="Normal"/>
        <w:rPr/>
      </w:pPr>
      <w:r>
        <w:rPr/>
      </w:r>
    </w:p>
    <w:p>
      <w:pPr>
        <w:pStyle w:val="Normal"/>
        <w:rPr/>
      </w:pPr>
      <w:r>
        <w:rPr/>
        <w:t>Our option to terminate the contract also presents a clear and present danger to us due the peculiarities of this Contract which will be discussed later; namely 1) being part of the Initial Contracts mix, 2) the use of the CCC account, 3) the Force Majeure claims, 4) the dependence of Mato Grosso on its output for energy security, 5) the instability due to the commissioning period. The situation dramatically changes after the power plant is operating with gas at full power next June.</w:t>
      </w:r>
    </w:p>
    <w:p>
      <w:pPr>
        <w:pStyle w:val="Normal"/>
        <w:rPr/>
      </w:pPr>
      <w:r>
        <w:rPr/>
      </w:r>
    </w:p>
    <w:p>
      <w:pPr>
        <w:pStyle w:val="Normal"/>
        <w:rPr/>
      </w:pPr>
      <w:r>
        <w:rPr/>
        <w:t>Short of re-negotiation, we can follow to paths: 1) continue the Contract with equity financing, continuing to apply external pressure to break the impasse and 2) terminate the Contract with two variations a) Force Furnas to buy the power plant or  b) make it  merchant plant. Under the “sell” scenario we would have to operate as a de-facto merchant plant for a while until a final agreement is reached. The option of using the termination threat as a negotiating tool is more dangerous to us, in that we may not achieve the objective and suffer additional exposure of Furnas present attempts to make the Cuiaba plant respond for its MW shortage directly with the MAE.</w:t>
      </w:r>
    </w:p>
    <w:p>
      <w:pPr>
        <w:pStyle w:val="Normal"/>
        <w:rPr/>
      </w:pPr>
      <w:r>
        <w:rPr/>
      </w:r>
    </w:p>
    <w:p>
      <w:pPr>
        <w:pStyle w:val="Normal"/>
        <w:rPr/>
      </w:pPr>
      <w:r>
        <w:rPr/>
        <w:t>The purpose of this memo is to provide a framework for our decisions.  Aside of our Contract rights, I have asked the Regulatory staff to prepare for a scenario where we take the power plant merchant. There are a number of difficult issues that have to be examined in detail. The exercise is similar to a “war game” where we will have to explore the reactions and counter reactions of the various players. Furnas, Aneel, MAE, the off-takers of the Initial Contracts, ONS, Rede/Cemat;  the Mato Grosso Government. We must know what lies ahead as we enter in this battle.</w:t>
      </w:r>
    </w:p>
    <w:p>
      <w:pPr>
        <w:pStyle w:val="Normal"/>
        <w:rPr/>
      </w:pPr>
      <w:r>
        <w:rPr/>
      </w:r>
    </w:p>
    <w:p>
      <w:pPr>
        <w:pStyle w:val="Normal"/>
        <w:rPr/>
      </w:pPr>
      <w:r>
        <w:rPr/>
        <w:t>The outline of our scenarios are:</w:t>
      </w:r>
    </w:p>
    <w:p>
      <w:pPr>
        <w:pStyle w:val="Heading2"/>
        <w:ind w:hanging="0" w:start="0"/>
        <w:rPr/>
      </w:pPr>
      <w:r>
        <w:rPr/>
        <w:t>A- Continue the Contract with equity financing. Apply pressure other than termination, to eventually get the project re-financed</w:t>
      </w:r>
    </w:p>
    <w:p>
      <w:pPr>
        <w:pStyle w:val="Normal"/>
        <w:rPr/>
      </w:pPr>
      <w:r>
        <w:rPr/>
        <w:t>This is the more conservative scenario for us in that we avoid all the re-negotiation issues associated  with non-contract issues described in the other scenario. The question is: can we bring enough pressure to bear to achieve our objectives?</w:t>
      </w:r>
    </w:p>
    <w:p>
      <w:pPr>
        <w:pStyle w:val="Normal"/>
        <w:rPr/>
      </w:pPr>
      <w:r>
        <w:rPr/>
      </w:r>
    </w:p>
    <w:p>
      <w:pPr>
        <w:pStyle w:val="Normal"/>
        <w:rPr/>
      </w:pPr>
      <w:r>
        <w:rPr/>
        <w:t>Our pressure points will be the international financing institutions and the arbitration/legal routes that we have to attack the guarantee issues. We must create a scenario in that the Brazil Finance Ministry (loss of control) knows that as a result of this incident, international financing will be more scarce, limited, etc, and more expensive. As components of this strategy:</w:t>
      </w:r>
    </w:p>
    <w:p>
      <w:pPr>
        <w:pStyle w:val="Normal"/>
        <w:rPr/>
      </w:pPr>
      <w:r>
        <w:rPr/>
      </w:r>
    </w:p>
    <w:p>
      <w:pPr>
        <w:pStyle w:val="Normal"/>
        <w:ind w:start="360" w:end="0"/>
        <w:rPr/>
      </w:pPr>
      <w:r>
        <w:rPr/>
      </w:r>
    </w:p>
    <w:p>
      <w:pPr>
        <w:pStyle w:val="Normal"/>
        <w:numPr>
          <w:ilvl w:val="0"/>
          <w:numId w:val="4"/>
        </w:numPr>
        <w:rPr/>
      </w:pPr>
      <w:r>
        <w:rPr/>
        <w:t>Visits by OPIC and KFW  and use of their respective government connections</w:t>
      </w:r>
    </w:p>
    <w:p>
      <w:pPr>
        <w:pStyle w:val="Normal"/>
        <w:rPr/>
      </w:pPr>
      <w:r>
        <w:rPr/>
      </w:r>
    </w:p>
    <w:p>
      <w:pPr>
        <w:pStyle w:val="Normal"/>
        <w:numPr>
          <w:ilvl w:val="0"/>
          <w:numId w:val="9"/>
        </w:numPr>
        <w:rPr/>
      </w:pPr>
      <w:r>
        <w:rPr/>
        <w:t>Administrative and Legal processes under the change of law clauses</w:t>
      </w:r>
    </w:p>
    <w:p>
      <w:pPr>
        <w:pStyle w:val="Normal"/>
        <w:rPr/>
      </w:pPr>
      <w:r>
        <w:rPr/>
      </w:r>
    </w:p>
    <w:p>
      <w:pPr>
        <w:pStyle w:val="Normal"/>
        <w:numPr>
          <w:ilvl w:val="0"/>
          <w:numId w:val="11"/>
        </w:numPr>
        <w:rPr/>
      </w:pPr>
      <w:r>
        <w:rPr/>
        <w:t>Letting the whole industry know that we cannot close Financing because. I have a number of conference opportunity coming up:</w:t>
      </w:r>
    </w:p>
    <w:p>
      <w:pPr>
        <w:pStyle w:val="Normal"/>
        <w:numPr>
          <w:ilvl w:val="0"/>
          <w:numId w:val="3"/>
        </w:numPr>
        <w:tabs>
          <w:tab w:val="left" w:pos="720" w:leader="none"/>
        </w:tabs>
        <w:ind w:hanging="360" w:start="720" w:end="0"/>
        <w:rPr/>
      </w:pPr>
      <w:r>
        <w:rPr/>
        <w:t xml:space="preserve">Eletrobras is reneging its guarantees and the reason they are using </w:t>
      </w:r>
    </w:p>
    <w:p>
      <w:pPr>
        <w:pStyle w:val="Normal"/>
        <w:numPr>
          <w:ilvl w:val="0"/>
          <w:numId w:val="3"/>
        </w:numPr>
        <w:tabs>
          <w:tab w:val="left" w:pos="720" w:leader="none"/>
        </w:tabs>
        <w:ind w:hanging="360" w:start="720" w:end="0"/>
        <w:rPr/>
      </w:pPr>
      <w:r>
        <w:rPr/>
        <w:t>Furnas does not want to provide the Lenders 90 days cure period</w:t>
      </w:r>
    </w:p>
    <w:p>
      <w:pPr>
        <w:pStyle w:val="Normal"/>
        <w:numPr>
          <w:ilvl w:val="0"/>
          <w:numId w:val="3"/>
        </w:numPr>
        <w:tabs>
          <w:tab w:val="left" w:pos="720" w:leader="none"/>
        </w:tabs>
        <w:ind w:hanging="360" w:start="720" w:end="0"/>
        <w:rPr/>
      </w:pPr>
      <w:r>
        <w:rPr/>
        <w:t xml:space="preserve">Furnas does not agree that the lenders. </w:t>
      </w:r>
    </w:p>
    <w:p>
      <w:pPr>
        <w:pStyle w:val="BodyTextIndent"/>
        <w:rPr/>
      </w:pPr>
      <w:r>
        <w:rPr/>
        <w:t>(Note: This public notice raises the stakes, but  is an important plank to create the pressure for a speedier resolution.)</w:t>
      </w:r>
    </w:p>
    <w:p>
      <w:pPr>
        <w:pStyle w:val="Normal"/>
        <w:rPr/>
      </w:pPr>
      <w:r>
        <w:rPr/>
      </w:r>
    </w:p>
    <w:p>
      <w:pPr>
        <w:pStyle w:val="Normal"/>
        <w:rPr/>
      </w:pPr>
      <w:r>
        <w:rPr/>
        <w:t>A down side is to continue a Contract with this off-taker after we resolve this issue. It will not be a good relationship.</w:t>
      </w:r>
    </w:p>
    <w:p>
      <w:pPr>
        <w:pStyle w:val="Normal"/>
        <w:rPr/>
      </w:pPr>
      <w:r>
        <w:rPr/>
      </w:r>
    </w:p>
    <w:p>
      <w:pPr>
        <w:pStyle w:val="Heading2"/>
        <w:ind w:hanging="0" w:start="0"/>
        <w:rPr/>
      </w:pPr>
      <w:r>
        <w:rPr/>
        <w:t xml:space="preserve">B- Go through the steps to terminate the Contact with the </w:t>
      </w:r>
      <w:r>
        <w:rPr>
          <w:u w:val="single"/>
        </w:rPr>
        <w:t>stated</w:t>
      </w:r>
      <w:r>
        <w:rPr/>
        <w:t xml:space="preserve"> intention to sale the plant to Furnas for the stated price, unless they resolve the issue first.</w:t>
      </w:r>
    </w:p>
    <w:p>
      <w:pPr>
        <w:pStyle w:val="Header"/>
        <w:tabs>
          <w:tab w:val="clear" w:pos="4320"/>
          <w:tab w:val="clear" w:pos="8640"/>
        </w:tabs>
        <w:rPr/>
      </w:pPr>
      <w:r>
        <w:rPr/>
      </w:r>
    </w:p>
    <w:p>
      <w:pPr>
        <w:pStyle w:val="Normal"/>
        <w:rPr/>
      </w:pPr>
      <w:r>
        <w:rPr/>
        <w:t xml:space="preserve">The strength of this argument will depend on our </w:t>
      </w:r>
      <w:r>
        <w:rPr>
          <w:u w:val="single"/>
        </w:rPr>
        <w:t>Contractual legal rights</w:t>
      </w:r>
      <w:r>
        <w:rPr/>
        <w:t xml:space="preserve">. Given that selling to Furnas is </w:t>
      </w:r>
      <w:r>
        <w:rPr>
          <w:u w:val="single"/>
        </w:rPr>
        <w:t>our stated intention</w:t>
      </w:r>
      <w:r>
        <w:rPr/>
        <w:t xml:space="preserve">, this will be a EPE –Furnas/Eletrobras issue that does not involve anyone else, that is, ONS, MAE, Off-takers, etc. </w:t>
      </w:r>
    </w:p>
    <w:p>
      <w:pPr>
        <w:pStyle w:val="Header"/>
        <w:tabs>
          <w:tab w:val="clear" w:pos="4320"/>
          <w:tab w:val="clear" w:pos="8640"/>
        </w:tabs>
        <w:rPr/>
      </w:pPr>
      <w:r>
        <w:rPr/>
      </w:r>
    </w:p>
    <w:p>
      <w:pPr>
        <w:pStyle w:val="Normal"/>
        <w:rPr/>
      </w:pPr>
      <w:r>
        <w:rPr/>
        <w:t>The Contract states that the sale price will be the highest of 1) market or  2) the table of prices.  Market price will be somewhat subjective, depending on MAE price assumptions. Under the best scenarios there will be a  time frame between the point that we declare that the contract has been terminated and that we get satisfaction from Furnas that de-facto we will be a merchant plant and will enter the next scenario.</w:t>
      </w:r>
    </w:p>
    <w:p>
      <w:pPr>
        <w:pStyle w:val="Normal"/>
        <w:rPr/>
      </w:pPr>
      <w:r>
        <w:rPr/>
      </w:r>
    </w:p>
    <w:p>
      <w:pPr>
        <w:pStyle w:val="Normal"/>
        <w:rPr/>
      </w:pPr>
      <w:r>
        <w:rPr/>
        <w:t>Furnas expected reaction is that they are not in breach on any Contractual point. Thus we will have a “limbo period” where we say to every one that we do not have a bilateral Contract and they say we do. This is where others are affected and we will cross over into the merchant plant scenario.</w:t>
      </w:r>
    </w:p>
    <w:p>
      <w:pPr>
        <w:pStyle w:val="Normal"/>
        <w:rPr/>
      </w:pPr>
      <w:r>
        <w:rPr/>
      </w:r>
    </w:p>
    <w:p>
      <w:pPr>
        <w:pStyle w:val="Normal"/>
        <w:rPr/>
      </w:pPr>
      <w:r>
        <w:rPr/>
        <w:t xml:space="preserve">Novak is to explore the legal ramifications, i.e. “liminares, etc.” and what are legal rights during the limbo period. </w:t>
      </w:r>
    </w:p>
    <w:p>
      <w:pPr>
        <w:pStyle w:val="Normal"/>
        <w:rPr/>
      </w:pPr>
      <w:r>
        <w:rPr/>
      </w:r>
    </w:p>
    <w:p>
      <w:pPr>
        <w:pStyle w:val="Heading2"/>
        <w:ind w:hanging="0" w:start="0"/>
        <w:rPr/>
      </w:pPr>
      <w:r>
        <w:rPr/>
        <w:t>C.- Taking the plant merchant either by intent or default.</w:t>
      </w:r>
    </w:p>
    <w:p>
      <w:pPr>
        <w:pStyle w:val="Normal"/>
        <w:rPr/>
      </w:pPr>
      <w:r>
        <w:rPr/>
        <w:t>I recommend that we enter into this as a continuation of Scenario B, where we say, we intend to exercise our rights to sale to Furnas, but in the meantime we are not going to shut down the power plant because: a) we need the cash and b) Mato Grosso depends on this power plant for energy reliability (Need to alert Governor Dante). Let’s discuss some of the key barriers.</w:t>
      </w:r>
    </w:p>
    <w:p>
      <w:pPr>
        <w:pStyle w:val="Normal"/>
        <w:rPr/>
      </w:pPr>
      <w:r>
        <w:rPr/>
      </w:r>
    </w:p>
    <w:p>
      <w:pPr>
        <w:pStyle w:val="Normal"/>
        <w:numPr>
          <w:ilvl w:val="0"/>
          <w:numId w:val="7"/>
        </w:numPr>
        <w:rPr/>
      </w:pPr>
      <w:r>
        <w:rPr>
          <w:b/>
        </w:rPr>
        <w:t>Shutting down the plant at times  to better accommodate  the commissioning period</w:t>
      </w:r>
      <w:r>
        <w:rPr/>
        <w:t>. This would be under a scenario independent of the local system needs. While contractually we have that right, politically that would not be acceptable due to the Cemat dependency. Thus we must continue to work this ONS/Cemat for an adequate commissioning schedule.</w:t>
      </w:r>
    </w:p>
    <w:p>
      <w:pPr>
        <w:pStyle w:val="Normal"/>
        <w:rPr/>
      </w:pPr>
      <w:r>
        <w:rPr/>
      </w:r>
    </w:p>
    <w:p>
      <w:pPr>
        <w:pStyle w:val="Normal"/>
        <w:numPr>
          <w:ilvl w:val="0"/>
          <w:numId w:val="2"/>
        </w:numPr>
        <w:rPr/>
      </w:pPr>
      <w:r>
        <w:rPr>
          <w:b/>
        </w:rPr>
        <w:t>Use of the CCC account</w:t>
      </w:r>
      <w:r>
        <w:rPr/>
        <w:t>.-  If we were satisfied with the  market prices during test period and we agree not use the CCC account, then we do not have an issue. However, we would be double-dipping if we were to receive the full MAE price and the CCC account benefits. A negotiation will have to be conducted to return a portion to the CCC Administration.  (Applicable to the Jan- April 2001 period).</w:t>
      </w:r>
    </w:p>
    <w:p>
      <w:pPr>
        <w:pStyle w:val="Normal"/>
        <w:rPr>
          <w:b/>
        </w:rPr>
      </w:pPr>
      <w:r>
        <w:rPr>
          <w:b/>
        </w:rPr>
      </w:r>
    </w:p>
    <w:p>
      <w:pPr>
        <w:pStyle w:val="Normal"/>
        <w:numPr>
          <w:ilvl w:val="0"/>
          <w:numId w:val="8"/>
        </w:numPr>
        <w:rPr/>
      </w:pPr>
      <w:r>
        <w:rPr>
          <w:b/>
        </w:rPr>
        <w:t>Our Force Majeure Claim</w:t>
      </w:r>
      <w:r>
        <w:rPr/>
        <w:t>.- This affects the Initial Contacts off-takers  because we are have a right to suspend our obligation under our contract, but there is not a similar right (except under general Brazilian Law) between Furnas and the off-takers. Furnas did not use this provision in time. (See Initial Contracts below). (Applicable until June 2001)</w:t>
      </w:r>
    </w:p>
    <w:p>
      <w:pPr>
        <w:pStyle w:val="Header"/>
        <w:tabs>
          <w:tab w:val="clear" w:pos="4320"/>
          <w:tab w:val="clear" w:pos="8640"/>
        </w:tabs>
        <w:rPr/>
      </w:pPr>
      <w:r>
        <w:rPr/>
      </w:r>
    </w:p>
    <w:p>
      <w:pPr>
        <w:pStyle w:val="Normal"/>
        <w:numPr>
          <w:ilvl w:val="0"/>
          <w:numId w:val="6"/>
        </w:numPr>
        <w:rPr/>
      </w:pPr>
      <w:r>
        <w:rPr>
          <w:b/>
        </w:rPr>
        <w:t>Initial Contracts</w:t>
      </w:r>
      <w:r>
        <w:rPr/>
        <w:t xml:space="preserve">.-  Cuiaba is part of the Initial Contacts. I expect Furnas would not be opposed if we were to relieve them of the obligation to supply the Cuiaba MWs portion with the off-takers. </w:t>
      </w:r>
    </w:p>
    <w:p>
      <w:pPr>
        <w:pStyle w:val="Header"/>
        <w:tabs>
          <w:tab w:val="clear" w:pos="4320"/>
          <w:tab w:val="clear" w:pos="8640"/>
        </w:tabs>
        <w:rPr/>
      </w:pPr>
      <w:r>
        <w:rPr/>
      </w:r>
    </w:p>
    <w:p>
      <w:pPr>
        <w:pStyle w:val="BodyTextIndent2"/>
        <w:rPr/>
      </w:pPr>
      <w:r>
        <w:rPr/>
        <w:t xml:space="preserve">a) But this is </w:t>
      </w:r>
      <w:r>
        <w:rPr>
          <w:u w:val="single"/>
        </w:rPr>
        <w:t>not in our favor,</w:t>
      </w:r>
      <w:r>
        <w:rPr/>
        <w:t xml:space="preserve"> the initial contracts are a blended formula whose revenues and indexation are entirely different to our Contract. We would not accept it. Our bear minimum would be a condominium agreement where each of the counter-parties would agree to take a portion of the Furnas Contract, and this takes all the value of going merchant.</w:t>
      </w:r>
    </w:p>
    <w:p>
      <w:pPr>
        <w:pStyle w:val="Normal"/>
        <w:ind w:start="360" w:end="0"/>
        <w:rPr/>
      </w:pPr>
      <w:r>
        <w:rPr/>
      </w:r>
    </w:p>
    <w:p>
      <w:pPr>
        <w:pStyle w:val="Normal"/>
        <w:ind w:start="360" w:end="0"/>
        <w:rPr/>
      </w:pPr>
      <w:r>
        <w:rPr/>
        <w:t xml:space="preserve">b) </w:t>
      </w:r>
      <w:r>
        <w:rPr>
          <w:u w:val="single"/>
        </w:rPr>
        <w:t>Furnas will fight</w:t>
      </w:r>
      <w:r>
        <w:rPr/>
        <w:t xml:space="preserve"> to death the situation where we take the plant at our their contracts and they will still have the Initial Contract Obligations.</w:t>
      </w:r>
    </w:p>
    <w:p>
      <w:pPr>
        <w:pStyle w:val="Normal"/>
        <w:ind w:start="360" w:end="0"/>
        <w:rPr/>
      </w:pPr>
      <w:r>
        <w:rPr/>
      </w:r>
    </w:p>
    <w:p>
      <w:pPr>
        <w:pStyle w:val="Normal"/>
        <w:ind w:start="360" w:end="0"/>
        <w:rPr/>
      </w:pPr>
      <w:r>
        <w:rPr/>
        <w:t xml:space="preserve">c) </w:t>
      </w:r>
      <w:r>
        <w:rPr>
          <w:u w:val="single"/>
        </w:rPr>
        <w:t>The Furnas off-takers</w:t>
      </w:r>
      <w:r>
        <w:rPr/>
        <w:t xml:space="preserve"> would not agree to a reduction of the Initial Contract volumes without a corresponding agreement from Aneel that they can recover the MAE pricing for these reduced volumes (VNc = MAE pricing)</w:t>
      </w:r>
    </w:p>
    <w:p>
      <w:pPr>
        <w:pStyle w:val="Normal"/>
        <w:ind w:start="360" w:end="0"/>
        <w:rPr/>
      </w:pPr>
      <w:r>
        <w:rPr/>
      </w:r>
    </w:p>
    <w:p>
      <w:pPr>
        <w:pStyle w:val="Normal"/>
        <w:ind w:start="360" w:end="0"/>
        <w:rPr/>
      </w:pPr>
      <w:r>
        <w:rPr/>
        <w:t xml:space="preserve">This will eventually </w:t>
      </w:r>
      <w:r>
        <w:rPr>
          <w:u w:val="single"/>
        </w:rPr>
        <w:t>require an Aneel regulation</w:t>
      </w:r>
      <w:r>
        <w:rPr/>
        <w:t>. The “tracking account” proposal which I am advancing through APINE/ABRADE would provide a transparent mechanism.</w:t>
      </w:r>
    </w:p>
    <w:p>
      <w:pPr>
        <w:pStyle w:val="Normal"/>
        <w:rPr/>
      </w:pPr>
      <w:r>
        <w:rPr/>
      </w:r>
    </w:p>
    <w:p>
      <w:pPr>
        <w:pStyle w:val="Normal"/>
        <w:numPr>
          <w:ilvl w:val="0"/>
          <w:numId w:val="6"/>
        </w:numPr>
        <w:rPr/>
      </w:pPr>
      <w:r>
        <w:rPr>
          <w:b/>
        </w:rPr>
        <w:t>Transmission Interconnection/Transmission Use Contracts.-</w:t>
      </w:r>
      <w:r>
        <w:rPr/>
        <w:t xml:space="preserve"> Once we take the Contract out of the Initial Contracts, we would have to enter into these agreements and pay the toll. Before this was a Furnas issue.</w:t>
      </w:r>
    </w:p>
    <w:p>
      <w:pPr>
        <w:pStyle w:val="Normal"/>
        <w:rPr>
          <w:b/>
        </w:rPr>
      </w:pPr>
      <w:r>
        <w:rPr>
          <w:b/>
        </w:rPr>
      </w:r>
    </w:p>
    <w:p>
      <w:pPr>
        <w:pStyle w:val="Normal"/>
        <w:numPr>
          <w:ilvl w:val="0"/>
          <w:numId w:val="10"/>
        </w:numPr>
        <w:rPr/>
      </w:pPr>
      <w:r>
        <w:rPr>
          <w:b/>
        </w:rPr>
        <w:t>ONS/MAE relationship</w:t>
      </w:r>
      <w:r>
        <w:rPr/>
        <w:t>.- We would have to provide the data that Furnas is supposed to be providing. (Deals with next issue).</w:t>
      </w:r>
    </w:p>
    <w:p>
      <w:pPr>
        <w:pStyle w:val="Normal"/>
        <w:rPr>
          <w:b/>
        </w:rPr>
      </w:pPr>
      <w:r>
        <w:rPr>
          <w:b/>
        </w:rPr>
      </w:r>
    </w:p>
    <w:p>
      <w:pPr>
        <w:pStyle w:val="Heading2"/>
        <w:ind w:hanging="0" w:start="0"/>
        <w:rPr/>
      </w:pPr>
      <w:r>
        <w:rPr/>
        <w:t>D - Making moves now to sell the output of Cuiaba, while still honoring the Contract, as a means to signal to Furnas that we are serious.</w:t>
      </w:r>
    </w:p>
    <w:p>
      <w:pPr>
        <w:pStyle w:val="Normal"/>
        <w:rPr/>
      </w:pPr>
      <w:r>
        <w:rPr/>
      </w:r>
    </w:p>
    <w:p>
      <w:pPr>
        <w:pStyle w:val="Normal"/>
        <w:rPr/>
      </w:pPr>
      <w:r>
        <w:rPr/>
        <w:t>This is the most dangerous route to use. We would have to deal with some of the issues above, comply with the Contact provisions that we must offer Furnas all the output that we have in excess of our guarantee capacity, and simultaneously avoid the traps that Furnas is inventing at the MAE</w:t>
      </w:r>
    </w:p>
    <w:p>
      <w:pPr>
        <w:pStyle w:val="Normal"/>
        <w:rPr/>
      </w:pPr>
      <w:r>
        <w:rPr/>
      </w:r>
    </w:p>
    <w:p>
      <w:pPr>
        <w:pStyle w:val="Normal"/>
        <w:rPr/>
      </w:pPr>
      <w:r>
        <w:rPr/>
        <w:t>Furnas positions at the MAE are:</w:t>
      </w:r>
    </w:p>
    <w:p>
      <w:pPr>
        <w:pStyle w:val="Normal"/>
        <w:rPr/>
      </w:pPr>
      <w:r>
        <w:rPr/>
      </w:r>
    </w:p>
    <w:p>
      <w:pPr>
        <w:pStyle w:val="Normal"/>
        <w:numPr>
          <w:ilvl w:val="0"/>
          <w:numId w:val="5"/>
        </w:numPr>
        <w:rPr/>
      </w:pPr>
      <w:r>
        <w:rPr/>
        <w:t>that they are not responsible for problems arising from delays out of the sources they do not own, Angra, Cuiaba, the Argentina interconnection, they are merely commercializing the energy.</w:t>
      </w:r>
    </w:p>
    <w:p>
      <w:pPr>
        <w:pStyle w:val="Normal"/>
        <w:numPr>
          <w:ilvl w:val="0"/>
          <w:numId w:val="5"/>
        </w:numPr>
        <w:rPr/>
      </w:pPr>
      <w:r>
        <w:rPr/>
        <w:t xml:space="preserve">That a MAE committee be set up to arbitrate these disputes. </w:t>
      </w:r>
    </w:p>
    <w:p>
      <w:pPr>
        <w:pStyle w:val="Normal"/>
        <w:numPr>
          <w:ilvl w:val="0"/>
          <w:numId w:val="5"/>
        </w:numPr>
        <w:rPr/>
      </w:pPr>
      <w:r>
        <w:rPr/>
        <w:t>They are not providing the MAE the Cuiaba generating data to further support the position that EPE is the responsible party</w:t>
      </w:r>
    </w:p>
    <w:p>
      <w:pPr>
        <w:pStyle w:val="Normal"/>
        <w:rPr/>
      </w:pPr>
      <w:r>
        <w:rPr/>
      </w:r>
    </w:p>
    <w:p>
      <w:pPr>
        <w:pStyle w:val="Normal"/>
        <w:rPr/>
      </w:pPr>
      <w:r>
        <w:rPr/>
        <w:t xml:space="preserve">We have disagree entirely.  Our position is that EPE is a rented facility by Furnas and that Furnas has a portfolio of sources to serve its obligations. </w:t>
      </w:r>
    </w:p>
    <w:p>
      <w:pPr>
        <w:pStyle w:val="Normal"/>
        <w:rPr/>
      </w:pPr>
      <w:r>
        <w:rPr/>
      </w:r>
    </w:p>
    <w:p>
      <w:pPr>
        <w:pStyle w:val="Normal"/>
        <w:rPr/>
      </w:pPr>
      <w:r>
        <w:rPr/>
        <w:t>If and when we take the power plant merchant,  we would  register and be responsible for bi-lateral contracts we may enter.</w:t>
      </w:r>
    </w:p>
    <w:p>
      <w:pPr>
        <w:pStyle w:val="Normal"/>
        <w:rPr>
          <w:rFonts w:eastAsia="Arial"/>
        </w:rPr>
      </w:pPr>
      <w:r>
        <w:rPr>
          <w:rFonts w:eastAsia="Arial"/>
        </w:rPr>
        <w:t xml:space="preserve">  </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270" w:leader="none"/>
      </w:tabs>
      <w:jc w:val="center"/>
      <w:rPr/>
    </w:pPr>
    <w:r>
      <w:rPr>
        <w:b/>
        <w:i/>
        <w:lang w:eastAsia="en-US"/>
      </w:rPr>
      <w:t>Confidential</w:t>
    </w:r>
    <w:r>
      <w:rPr>
        <w:lang w:eastAsia="en-US"/>
      </w:rPr>
      <w:t xml:space="preserve"> – </w:t>
    </w:r>
    <w:r>
      <w:rPr>
        <w:b/>
        <w:i/>
        <w:lang w:eastAsia="en-US"/>
      </w:rPr>
      <w:t>Cuiaba Lead Team only</w:t>
    </w:r>
  </w:p>
  <w:p>
    <w:pPr>
      <w:pStyle w:val="Header"/>
      <w:tabs>
        <w:tab w:val="clear" w:pos="4320"/>
        <w:tab w:val="clear" w:pos="8640"/>
        <w:tab w:val="center" w:pos="4680" w:leader="none"/>
        <w:tab w:val="right" w:pos="9270" w:leader="none"/>
      </w:tabs>
      <w:rPr/>
    </w:pPr>
    <w:r>
      <w:rPr>
        <w:lang w:eastAsia="en-US"/>
      </w:rPr>
      <w:t>Jose Bestard</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ab/>
      <w:t>11/02/00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color w:val="auto"/>
    </w:rPr>
  </w:style>
  <w:style w:type="character" w:styleId="WW8Num2z0">
    <w:name w:val="WW8Num2z0"/>
    <w:qFormat/>
    <w:rPr/>
  </w:style>
  <w:style w:type="character" w:styleId="WW8Num3z0">
    <w:name w:val="WW8Num3z0"/>
    <w:qFormat/>
    <w:rPr>
      <w:rFonts w:ascii="Symbol" w:hAnsi="Symbol" w:cs="Symbol"/>
      <w:color w:val="auto"/>
    </w:rPr>
  </w:style>
  <w:style w:type="character" w:styleId="WW8Num4z0">
    <w:name w:val="WW8Num4z0"/>
    <w:qFormat/>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AEnglish</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2000-11-01T21:14:00Z</dcterms:created>
  <dc:creator>Jose Bestard</dc:creator>
  <dc:description/>
  <dc:language>en-CA</dc:language>
  <cp:lastModifiedBy>Jose Bestard</cp:lastModifiedBy>
  <dcterms:modified xsi:type="dcterms:W3CDTF">2000-11-02T16:02:00Z</dcterms:modified>
  <cp:revision>42</cp:revision>
  <dc:subject/>
  <dc:title>“A Clear and Present Danger”</dc:title>
</cp:coreProperties>
</file>