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4"/>
        <w:rPr>
          <w:b/>
        </w:rPr>
      </w:pPr>
      <w:r>
        <w:rPr>
          <w:b/>
        </w:rPr>
        <w:t>Enron South America and Azurix Buenos Aires</w:t>
      </w:r>
    </w:p>
    <w:p>
      <w:pPr>
        <w:pStyle w:val="Heading5"/>
        <w:rPr/>
      </w:pPr>
      <w:r>
        <w:rPr/>
        <w:t>Energy Management Service Agreement</w:t>
      </w:r>
    </w:p>
    <w:p>
      <w:pPr>
        <w:pStyle w:val="Normal"/>
        <w:rPr>
          <w:sz w:val="24"/>
        </w:rPr>
      </w:pPr>
      <w:r>
        <w:rPr>
          <w:sz w:val="24"/>
        </w:rPr>
      </w:r>
    </w:p>
    <w:p>
      <w:pPr>
        <w:pStyle w:val="Normal"/>
        <w:rPr>
          <w:sz w:val="24"/>
        </w:rPr>
      </w:pPr>
      <w:r>
        <w:rPr>
          <w:sz w:val="24"/>
        </w:rPr>
      </w:r>
    </w:p>
    <w:p>
      <w:pPr>
        <w:pStyle w:val="Heading1"/>
        <w:ind w:hanging="0" w:start="0"/>
        <w:rPr>
          <w:sz w:val="24"/>
        </w:rPr>
      </w:pPr>
      <w:r>
        <w:rPr>
          <w:sz w:val="24"/>
        </w:rPr>
        <w:t>Tariff &amp; Billing Management</w:t>
      </w:r>
    </w:p>
    <w:p>
      <w:pPr>
        <w:pStyle w:val="Normal"/>
        <w:rPr>
          <w:sz w:val="24"/>
        </w:rPr>
      </w:pPr>
      <w:r>
        <w:rPr>
          <w:sz w:val="24"/>
        </w:rPr>
      </w:r>
    </w:p>
    <w:p>
      <w:pPr>
        <w:pStyle w:val="Normal"/>
        <w:numPr>
          <w:ilvl w:val="0"/>
          <w:numId w:val="4"/>
        </w:numPr>
        <w:rPr>
          <w:sz w:val="24"/>
        </w:rPr>
      </w:pPr>
      <w:r>
        <w:rPr>
          <w:sz w:val="24"/>
        </w:rPr>
        <w:t xml:space="preserve">Tariff Management </w:t>
      </w:r>
    </w:p>
    <w:p>
      <w:pPr>
        <w:pStyle w:val="Normal"/>
        <w:numPr>
          <w:ilvl w:val="0"/>
          <w:numId w:val="2"/>
        </w:numPr>
        <w:rPr>
          <w:sz w:val="24"/>
        </w:rPr>
      </w:pPr>
      <w:r>
        <w:rPr>
          <w:sz w:val="24"/>
        </w:rPr>
        <w:t xml:space="preserve"> </w:t>
      </w:r>
      <w:r>
        <w:rPr>
          <w:sz w:val="24"/>
        </w:rPr>
        <w:t>Enron will act on AZX’s behalf in managing AZX’s electricity tariffs</w:t>
      </w:r>
    </w:p>
    <w:p>
      <w:pPr>
        <w:pStyle w:val="Normal"/>
        <w:numPr>
          <w:ilvl w:val="0"/>
          <w:numId w:val="4"/>
        </w:numPr>
        <w:rPr>
          <w:sz w:val="24"/>
        </w:rPr>
      </w:pPr>
      <w:r>
        <w:rPr>
          <w:sz w:val="24"/>
        </w:rPr>
        <w:t xml:space="preserve">Bill Management </w:t>
      </w:r>
    </w:p>
    <w:p>
      <w:pPr>
        <w:pStyle w:val="Normal"/>
        <w:numPr>
          <w:ilvl w:val="0"/>
          <w:numId w:val="6"/>
        </w:numPr>
        <w:rPr>
          <w:sz w:val="24"/>
        </w:rPr>
      </w:pPr>
      <w:r>
        <w:rPr>
          <w:sz w:val="24"/>
        </w:rPr>
        <w:t>Enron will obtain, manage, and/or pay all of AZX’s energy bills and provide comprehensive energy cost reporting</w:t>
      </w:r>
    </w:p>
    <w:p>
      <w:pPr>
        <w:pStyle w:val="Heading2"/>
        <w:numPr>
          <w:ilvl w:val="0"/>
          <w:numId w:val="4"/>
        </w:numPr>
        <w:ind w:hanging="0" w:start="0"/>
        <w:rPr/>
      </w:pPr>
      <w:r>
        <w:rPr/>
        <w:t>Agency Status</w:t>
      </w:r>
    </w:p>
    <w:p>
      <w:pPr>
        <w:pStyle w:val="Normal"/>
        <w:numPr>
          <w:ilvl w:val="0"/>
          <w:numId w:val="3"/>
        </w:numPr>
        <w:rPr>
          <w:sz w:val="24"/>
        </w:rPr>
      </w:pPr>
      <w:r>
        <w:rPr>
          <w:sz w:val="24"/>
        </w:rPr>
        <w:t>Enron will act on AZX’s behalf in order to obtain, manage, and/or pay AZX’s power bills</w:t>
      </w:r>
    </w:p>
    <w:p>
      <w:pPr>
        <w:pStyle w:val="Normal"/>
        <w:numPr>
          <w:ilvl w:val="0"/>
          <w:numId w:val="3"/>
        </w:numPr>
        <w:rPr>
          <w:sz w:val="24"/>
        </w:rPr>
      </w:pPr>
      <w:r>
        <w:rPr>
          <w:sz w:val="24"/>
        </w:rPr>
        <w:t>Enron will act on AZX’s behalf in order to economically optimize Azurix’s tariff structures</w:t>
      </w:r>
    </w:p>
    <w:p>
      <w:pPr>
        <w:pStyle w:val="Normal"/>
        <w:ind w:start="1080" w:end="0"/>
        <w:rPr>
          <w:sz w:val="24"/>
        </w:rPr>
      </w:pPr>
      <w:r>
        <w:rPr>
          <w:sz w:val="24"/>
        </w:rPr>
      </w:r>
    </w:p>
    <w:p>
      <w:pPr>
        <w:pStyle w:val="Heading1"/>
        <w:ind w:hanging="0" w:start="0"/>
        <w:rPr>
          <w:sz w:val="24"/>
        </w:rPr>
      </w:pPr>
      <w:r>
        <w:rPr>
          <w:sz w:val="24"/>
        </w:rPr>
        <w:t>MEM Process Management</w:t>
      </w:r>
    </w:p>
    <w:p>
      <w:pPr>
        <w:pStyle w:val="Normal"/>
        <w:rPr>
          <w:sz w:val="24"/>
        </w:rPr>
      </w:pPr>
      <w:r>
        <w:rPr>
          <w:sz w:val="24"/>
        </w:rPr>
      </w:r>
    </w:p>
    <w:p>
      <w:pPr>
        <w:pStyle w:val="Normal"/>
        <w:numPr>
          <w:ilvl w:val="0"/>
          <w:numId w:val="8"/>
        </w:numPr>
        <w:rPr>
          <w:sz w:val="24"/>
        </w:rPr>
      </w:pPr>
      <w:r>
        <w:rPr>
          <w:sz w:val="24"/>
        </w:rPr>
        <w:t>Data Collection and Due Diligence</w:t>
      </w:r>
    </w:p>
    <w:p>
      <w:pPr>
        <w:pStyle w:val="Normal"/>
        <w:numPr>
          <w:ilvl w:val="0"/>
          <w:numId w:val="10"/>
        </w:numPr>
        <w:rPr>
          <w:sz w:val="24"/>
        </w:rPr>
      </w:pPr>
      <w:r>
        <w:rPr>
          <w:sz w:val="24"/>
        </w:rPr>
        <w:t>Enron will assess AZX’s power bills and their economic priority for being moved to the MEM</w:t>
      </w:r>
    </w:p>
    <w:p>
      <w:pPr>
        <w:pStyle w:val="Normal"/>
        <w:numPr>
          <w:ilvl w:val="0"/>
          <w:numId w:val="8"/>
        </w:numPr>
        <w:rPr>
          <w:sz w:val="24"/>
        </w:rPr>
      </w:pPr>
      <w:r>
        <w:rPr>
          <w:sz w:val="24"/>
        </w:rPr>
        <w:t>Selection of Meters</w:t>
      </w:r>
    </w:p>
    <w:p>
      <w:pPr>
        <w:pStyle w:val="Normal"/>
        <w:numPr>
          <w:ilvl w:val="0"/>
          <w:numId w:val="12"/>
        </w:numPr>
        <w:rPr>
          <w:sz w:val="24"/>
        </w:rPr>
      </w:pPr>
      <w:r>
        <w:rPr>
          <w:sz w:val="24"/>
        </w:rPr>
        <w:t>Enron will select which of AZX’s meters will be moved to the MEM based on economic optimization</w:t>
      </w:r>
    </w:p>
    <w:p>
      <w:pPr>
        <w:pStyle w:val="Normal"/>
        <w:numPr>
          <w:ilvl w:val="0"/>
          <w:numId w:val="8"/>
        </w:numPr>
        <w:rPr>
          <w:sz w:val="24"/>
        </w:rPr>
      </w:pPr>
      <w:r>
        <w:rPr>
          <w:sz w:val="24"/>
        </w:rPr>
        <w:t>Agency Status</w:t>
      </w:r>
    </w:p>
    <w:p>
      <w:pPr>
        <w:pStyle w:val="Normal"/>
        <w:numPr>
          <w:ilvl w:val="0"/>
          <w:numId w:val="7"/>
        </w:numPr>
        <w:rPr>
          <w:sz w:val="24"/>
        </w:rPr>
      </w:pPr>
      <w:r>
        <w:rPr>
          <w:sz w:val="24"/>
        </w:rPr>
        <w:t>Enron will act as agent in the management of the filing process for those meters that it selects to be moved to the MEM</w:t>
      </w:r>
    </w:p>
    <w:p>
      <w:pPr>
        <w:pStyle w:val="Normal"/>
        <w:ind w:start="1080" w:end="0"/>
        <w:rPr>
          <w:sz w:val="24"/>
        </w:rPr>
      </w:pPr>
      <w:r>
        <w:rPr>
          <w:sz w:val="24"/>
        </w:rPr>
      </w:r>
    </w:p>
    <w:p>
      <w:pPr>
        <w:pStyle w:val="Heading1"/>
        <w:ind w:hanging="0" w:start="0"/>
        <w:rPr>
          <w:sz w:val="24"/>
        </w:rPr>
      </w:pPr>
      <w:r>
        <w:rPr>
          <w:sz w:val="24"/>
        </w:rPr>
        <w:t>Power Supply Management</w:t>
      </w:r>
    </w:p>
    <w:p>
      <w:pPr>
        <w:pStyle w:val="Normal"/>
        <w:rPr>
          <w:sz w:val="24"/>
        </w:rPr>
      </w:pPr>
      <w:r>
        <w:rPr>
          <w:sz w:val="24"/>
        </w:rPr>
      </w:r>
    </w:p>
    <w:p>
      <w:pPr>
        <w:pStyle w:val="Normal"/>
        <w:numPr>
          <w:ilvl w:val="0"/>
          <w:numId w:val="5"/>
        </w:numPr>
        <w:rPr>
          <w:sz w:val="24"/>
        </w:rPr>
      </w:pPr>
      <w:r>
        <w:rPr>
          <w:sz w:val="24"/>
        </w:rPr>
        <w:t xml:space="preserve"> </w:t>
      </w:r>
      <w:r>
        <w:rPr>
          <w:sz w:val="24"/>
        </w:rPr>
        <w:t>Agency Status</w:t>
      </w:r>
    </w:p>
    <w:p>
      <w:pPr>
        <w:pStyle w:val="Normal"/>
        <w:numPr>
          <w:ilvl w:val="0"/>
          <w:numId w:val="11"/>
        </w:numPr>
        <w:rPr>
          <w:sz w:val="24"/>
        </w:rPr>
      </w:pPr>
      <w:r>
        <w:rPr>
          <w:sz w:val="24"/>
        </w:rPr>
        <w:t xml:space="preserve"> </w:t>
      </w:r>
      <w:r>
        <w:rPr>
          <w:sz w:val="24"/>
        </w:rPr>
        <w:t xml:space="preserve">Enron will act on AZX’s behalf in soliciting bids for AZX’s power needs, compiling and submitting such results to AZX on an as needed basis, and executing the instructions of AZX to purchase power </w:t>
      </w:r>
    </w:p>
    <w:p>
      <w:pPr>
        <w:pStyle w:val="Normal"/>
        <w:ind w:start="1080" w:end="0"/>
        <w:rPr>
          <w:sz w:val="24"/>
        </w:rPr>
      </w:pPr>
      <w:r>
        <w:rPr>
          <w:sz w:val="24"/>
        </w:rPr>
      </w:r>
    </w:p>
    <w:p>
      <w:pPr>
        <w:pStyle w:val="Normal"/>
        <w:numPr>
          <w:ilvl w:val="0"/>
          <w:numId w:val="11"/>
        </w:numPr>
        <w:rPr>
          <w:sz w:val="24"/>
        </w:rPr>
      </w:pPr>
      <w:r>
        <w:rPr>
          <w:sz w:val="24"/>
        </w:rPr>
        <w:t>Enron will advise AZX of the bid results with regard to both price and reliability</w:t>
      </w:r>
    </w:p>
    <w:p>
      <w:pPr>
        <w:pStyle w:val="Normal"/>
        <w:rPr>
          <w:sz w:val="24"/>
        </w:rPr>
      </w:pPr>
      <w:r>
        <w:rPr>
          <w:sz w:val="24"/>
        </w:rPr>
      </w:r>
    </w:p>
    <w:p>
      <w:pPr>
        <w:pStyle w:val="Normal"/>
        <w:numPr>
          <w:ilvl w:val="0"/>
          <w:numId w:val="11"/>
        </w:numPr>
        <w:rPr>
          <w:sz w:val="24"/>
        </w:rPr>
      </w:pPr>
      <w:r>
        <w:rPr>
          <w:sz w:val="24"/>
        </w:rPr>
        <w:t>Enron will act as agent in the negotiation and management of all aspects of the power supply agreement</w:t>
      </w:r>
    </w:p>
    <w:p>
      <w:pPr>
        <w:pStyle w:val="Normal"/>
        <w:rPr>
          <w:sz w:val="24"/>
        </w:rPr>
      </w:pPr>
      <w:r>
        <w:rPr>
          <w:sz w:val="24"/>
        </w:rPr>
      </w:r>
    </w:p>
    <w:p>
      <w:pPr>
        <w:pStyle w:val="Normal"/>
        <w:ind w:start="1080" w:end="0"/>
        <w:rPr>
          <w:sz w:val="24"/>
        </w:rPr>
      </w:pPr>
      <w:r>
        <w:rPr>
          <w:sz w:val="24"/>
        </w:rPr>
      </w:r>
    </w:p>
    <w:p>
      <w:pPr>
        <w:pStyle w:val="Normal"/>
        <w:ind w:start="1080" w:end="0"/>
        <w:rPr>
          <w:sz w:val="24"/>
        </w:rPr>
      </w:pPr>
      <w:r>
        <w:rPr>
          <w:sz w:val="24"/>
        </w:rPr>
      </w:r>
    </w:p>
    <w:p>
      <w:pPr>
        <w:pStyle w:val="Normal"/>
        <w:ind w:start="1080" w:end="0"/>
        <w:rPr>
          <w:sz w:val="24"/>
        </w:rPr>
      </w:pPr>
      <w:r>
        <w:rPr>
          <w:sz w:val="24"/>
        </w:rPr>
      </w:r>
    </w:p>
    <w:p>
      <w:pPr>
        <w:pStyle w:val="Normal"/>
        <w:ind w:start="1080" w:end="0"/>
        <w:rPr>
          <w:sz w:val="24"/>
        </w:rPr>
      </w:pPr>
      <w:r>
        <w:rPr>
          <w:sz w:val="24"/>
        </w:rPr>
      </w:r>
    </w:p>
    <w:p>
      <w:pPr>
        <w:pStyle w:val="Heading1"/>
        <w:ind w:hanging="0" w:start="0"/>
        <w:rPr>
          <w:sz w:val="24"/>
        </w:rPr>
      </w:pPr>
      <w:r>
        <w:rPr>
          <w:sz w:val="24"/>
        </w:rPr>
        <w:t>Fee Structure for I, II, and III</w:t>
      </w:r>
    </w:p>
    <w:p>
      <w:pPr>
        <w:pStyle w:val="Normal"/>
        <w:ind w:start="1080" w:end="0"/>
        <w:rPr>
          <w:sz w:val="24"/>
        </w:rPr>
      </w:pPr>
      <w:r>
        <w:rPr>
          <w:sz w:val="24"/>
        </w:rPr>
        <w:t>i.  Enron will perform such services on an incentive based formula equal to _____% of the savings calculated based upon the difference between the regulated commercial tariffs applicable to the meters and the resulting actual delivery price</w:t>
      </w:r>
    </w:p>
    <w:p>
      <w:pPr>
        <w:pStyle w:val="Normal"/>
        <w:rPr>
          <w:sz w:val="24"/>
        </w:rPr>
      </w:pPr>
      <w:r>
        <w:rPr>
          <w:sz w:val="24"/>
        </w:rPr>
      </w:r>
    </w:p>
    <w:p>
      <w:pPr>
        <w:pStyle w:val="Heading3"/>
        <w:rPr/>
      </w:pPr>
      <w:r>
        <w:rPr/>
        <w:t>V.</w:t>
        <w:tab/>
        <w:t>Enron Power Sales Agreement</w:t>
      </w:r>
    </w:p>
    <w:p>
      <w:pPr>
        <w:pStyle w:val="Normal"/>
        <w:rPr>
          <w:sz w:val="24"/>
        </w:rPr>
      </w:pPr>
      <w:r>
        <w:rPr>
          <w:sz w:val="24"/>
        </w:rPr>
      </w:r>
    </w:p>
    <w:p>
      <w:pPr>
        <w:pStyle w:val="Normal"/>
        <w:numPr>
          <w:ilvl w:val="0"/>
          <w:numId w:val="9"/>
        </w:numPr>
        <w:rPr>
          <w:sz w:val="24"/>
        </w:rPr>
      </w:pPr>
      <w:r>
        <w:rPr>
          <w:sz w:val="24"/>
        </w:rPr>
        <w:t>Enron will separately participate in the MEM bid process for AZX’s aggregated load</w:t>
      </w:r>
    </w:p>
    <w:p>
      <w:pPr>
        <w:pStyle w:val="Heading1"/>
        <w:numPr>
          <w:ilvl w:val="0"/>
          <w:numId w:val="0"/>
        </w:numPr>
        <w:ind w:hanging="0" w:start="0"/>
        <w:rPr>
          <w:b w:val="false"/>
          <w:sz w:val="24"/>
        </w:rPr>
      </w:pPr>
      <w:r>
        <w:rPr>
          <w:b w:val="false"/>
          <w:sz w:val="24"/>
        </w:rPr>
      </w:r>
    </w:p>
    <w:p>
      <w:pPr>
        <w:pStyle w:val="Normal"/>
        <w:ind w:start="720" w:end="0"/>
        <w:rPr>
          <w:sz w:val="24"/>
        </w:rPr>
      </w:pPr>
      <w:r>
        <w:rPr>
          <w:sz w:val="24"/>
        </w:rPr>
        <w:t xml:space="preserve"> </w:t>
      </w:r>
    </w:p>
    <w:p>
      <w:pPr>
        <w:pStyle w:val="Normal"/>
        <w:ind w:start="720" w:end="0"/>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Roman"/>
      <w:lvlText w:val="%1."/>
      <w:lvlJc w:val="start"/>
      <w:pPr>
        <w:tabs>
          <w:tab w:val="num" w:pos="1800"/>
        </w:tabs>
        <w:ind w:start="1800" w:hanging="720"/>
      </w:pPr>
      <w:rPr/>
    </w:lvl>
  </w:abstractNum>
  <w:abstractNum w:abstractNumId="3">
    <w:lvl w:ilvl="0">
      <w:start w:val="1"/>
      <w:numFmt w:val="lowerRoman"/>
      <w:lvlText w:val="%1."/>
      <w:lvlJc w:val="start"/>
      <w:pPr>
        <w:tabs>
          <w:tab w:val="num" w:pos="1800"/>
        </w:tabs>
        <w:ind w:start="1800" w:hanging="720"/>
      </w:pPr>
      <w:rPr/>
    </w:lvl>
  </w:abstractNum>
  <w:abstractNum w:abstractNumId="4">
    <w:lvl w:ilvl="0">
      <w:start w:val="1"/>
      <w:numFmt w:val="upperLetter"/>
      <w:lvlText w:val="%1."/>
      <w:lvlJc w:val="start"/>
      <w:pPr>
        <w:tabs>
          <w:tab w:val="num" w:pos="1080"/>
        </w:tabs>
        <w:ind w:start="1080" w:hanging="360"/>
      </w:pPr>
      <w:rPr/>
    </w:lvl>
  </w:abstractNum>
  <w:abstractNum w:abstractNumId="5">
    <w:lvl w:ilvl="0">
      <w:start w:val="1"/>
      <w:numFmt w:val="upperLetter"/>
      <w:lvlText w:val="%1."/>
      <w:lvlJc w:val="start"/>
      <w:pPr>
        <w:tabs>
          <w:tab w:val="num" w:pos="1080"/>
        </w:tabs>
        <w:ind w:start="1080" w:hanging="360"/>
      </w:pPr>
      <w:rPr/>
    </w:lvl>
  </w:abstractNum>
  <w:abstractNum w:abstractNumId="6">
    <w:lvl w:ilvl="0">
      <w:start w:val="1"/>
      <w:numFmt w:val="lowerRoman"/>
      <w:lvlText w:val="%1."/>
      <w:lvlJc w:val="start"/>
      <w:pPr>
        <w:tabs>
          <w:tab w:val="num" w:pos="1800"/>
        </w:tabs>
        <w:ind w:start="1800" w:hanging="720"/>
      </w:pPr>
      <w:rPr/>
    </w:lvl>
  </w:abstractNum>
  <w:abstractNum w:abstractNumId="7">
    <w:lvl w:ilvl="0">
      <w:start w:val="1"/>
      <w:numFmt w:val="lowerRoman"/>
      <w:lvlText w:val="%1."/>
      <w:lvlJc w:val="start"/>
      <w:pPr>
        <w:tabs>
          <w:tab w:val="num" w:pos="1800"/>
        </w:tabs>
        <w:ind w:start="1800" w:hanging="720"/>
      </w:pPr>
      <w:rPr/>
    </w:lvl>
  </w:abstractNum>
  <w:abstractNum w:abstractNumId="8">
    <w:lvl w:ilvl="0">
      <w:start w:val="1"/>
      <w:numFmt w:val="upperLetter"/>
      <w:lvlText w:val="%1."/>
      <w:lvlJc w:val="start"/>
      <w:pPr>
        <w:tabs>
          <w:tab w:val="num" w:pos="1080"/>
        </w:tabs>
        <w:ind w:start="1080" w:hanging="360"/>
      </w:pPr>
      <w:rPr/>
    </w:lvl>
  </w:abstractNum>
  <w:abstractNum w:abstractNumId="9">
    <w:lvl w:ilvl="0">
      <w:start w:val="1"/>
      <w:numFmt w:val="upperLetter"/>
      <w:lvlText w:val="%1."/>
      <w:lvlJc w:val="start"/>
      <w:pPr>
        <w:tabs>
          <w:tab w:val="num" w:pos="1080"/>
        </w:tabs>
        <w:ind w:start="1080" w:hanging="360"/>
      </w:pPr>
      <w:rPr/>
    </w:lvl>
  </w:abstractNum>
  <w:abstractNum w:abstractNumId="10">
    <w:lvl w:ilvl="0">
      <w:start w:val="1"/>
      <w:numFmt w:val="lowerRoman"/>
      <w:lvlText w:val="%1."/>
      <w:lvlJc w:val="start"/>
      <w:pPr>
        <w:tabs>
          <w:tab w:val="num" w:pos="1800"/>
        </w:tabs>
        <w:ind w:start="1800" w:hanging="720"/>
      </w:pPr>
      <w:rPr/>
    </w:lvl>
  </w:abstractNum>
  <w:abstractNum w:abstractNumId="11">
    <w:lvl w:ilvl="0">
      <w:start w:val="1"/>
      <w:numFmt w:val="lowerRoman"/>
      <w:lvlText w:val="%1."/>
      <w:lvlJc w:val="start"/>
      <w:pPr>
        <w:tabs>
          <w:tab w:val="num" w:pos="1800"/>
        </w:tabs>
        <w:ind w:start="1800" w:hanging="720"/>
      </w:pPr>
      <w:rPr/>
    </w:lvl>
  </w:abstractNum>
  <w:abstractNum w:abstractNumId="12">
    <w:lvl w:ilvl="0">
      <w:start w:val="1"/>
      <w:numFmt w:val="lowerRoman"/>
      <w:lvlText w:val="%1."/>
      <w:lvlJc w:val="start"/>
      <w:pPr>
        <w:tabs>
          <w:tab w:val="num" w:pos="1800"/>
        </w:tabs>
        <w:ind w:start="180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0"/>
        <w:numId w:val="4"/>
      </w:numPr>
      <w:outlineLvl w:val="1"/>
    </w:pPr>
    <w:rPr>
      <w:sz w:val="24"/>
    </w:rPr>
  </w:style>
  <w:style w:type="paragraph" w:styleId="Heading3">
    <w:name w:val="heading 3"/>
    <w:basedOn w:val="Normal"/>
    <w:next w:val="Normal"/>
    <w:qFormat/>
    <w:pPr>
      <w:keepNext w:val="true"/>
      <w:outlineLvl w:val="2"/>
    </w:pPr>
    <w:rPr>
      <w:b/>
      <w:sz w:val="24"/>
    </w:rPr>
  </w:style>
  <w:style w:type="paragraph" w:styleId="Heading4">
    <w:name w:val="heading 4"/>
    <w:basedOn w:val="Normal"/>
    <w:next w:val="Normal"/>
    <w:qFormat/>
    <w:pPr>
      <w:keepNext w:val="true"/>
      <w:jc w:val="center"/>
      <w:outlineLvl w:val="3"/>
    </w:pPr>
    <w:rPr>
      <w:sz w:val="24"/>
    </w:rPr>
  </w:style>
  <w:style w:type="paragraph" w:styleId="Heading5">
    <w:name w:val="heading 5"/>
    <w:basedOn w:val="Normal"/>
    <w:next w:val="Normal"/>
    <w:qFormat/>
    <w:pPr>
      <w:keepNext w:val="true"/>
      <w:jc w:val="center"/>
      <w:outlineLvl w:val="4"/>
    </w:pPr>
    <w:rPr>
      <w:b/>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2000-04-25T11:18:00Z</dcterms:created>
  <dc:creator>dfeathe</dc:creator>
  <dc:description/>
  <dc:language>en-CA</dc:language>
  <cp:lastModifiedBy>dfeathe</cp:lastModifiedBy>
  <cp:lastPrinted>2000-04-25T08:42:00Z</cp:lastPrinted>
  <dcterms:modified xsi:type="dcterms:W3CDTF">2000-04-25T11:18:00Z</dcterms:modified>
  <cp:revision>2</cp:revision>
  <dc:subject/>
  <dc:title>Andrea, Mike, Pablo:</dc:title>
</cp:coreProperties>
</file>