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E220 – Corporate Financial Reporting Fall 2000</w:t>
      </w:r>
    </w:p>
    <w:p>
      <w:pPr>
        <w:pStyle w:val="Normal"/>
        <w:rPr>
          <w:sz w:val="24"/>
        </w:rPr>
      </w:pPr>
      <w:r>
        <w:rPr>
          <w:sz w:val="24"/>
        </w:rPr>
      </w:r>
    </w:p>
    <w:p>
      <w:pPr>
        <w:pStyle w:val="Heading1"/>
        <w:ind w:hanging="0" w:start="0"/>
        <w:rPr>
          <w:sz w:val="24"/>
        </w:rPr>
      </w:pPr>
      <w:r>
        <w:rPr>
          <w:sz w:val="24"/>
        </w:rPr>
        <w:t>Productos Azteca Case 4-1</w:t>
      </w:r>
    </w:p>
    <w:p>
      <w:pPr>
        <w:pStyle w:val="Normal"/>
        <w:rPr>
          <w:sz w:val="24"/>
        </w:rPr>
      </w:pPr>
      <w:r>
        <w:rPr>
          <w:sz w:val="24"/>
        </w:rPr>
      </w:r>
    </w:p>
    <w:p>
      <w:pPr>
        <w:pStyle w:val="Normal"/>
        <w:rPr>
          <w:sz w:val="24"/>
        </w:rPr>
      </w:pPr>
      <w:r>
        <w:rPr>
          <w:sz w:val="24"/>
        </w:rPr>
        <w:t>Group:</w:t>
        <w:tab/>
        <w:t>Jeff Dasovich</w:t>
      </w:r>
    </w:p>
    <w:p>
      <w:pPr>
        <w:pStyle w:val="Normal"/>
        <w:rPr>
          <w:sz w:val="24"/>
        </w:rPr>
      </w:pPr>
      <w:r>
        <w:rPr>
          <w:sz w:val="24"/>
        </w:rPr>
        <w:tab/>
        <w:t>Jimmy Jackson</w:t>
      </w:r>
    </w:p>
    <w:p>
      <w:pPr>
        <w:pStyle w:val="Normal"/>
        <w:rPr>
          <w:sz w:val="24"/>
        </w:rPr>
      </w:pPr>
      <w:r>
        <w:rPr>
          <w:sz w:val="24"/>
        </w:rPr>
        <w:tab/>
        <w:t>Kimberly Kupiecki</w:t>
      </w:r>
    </w:p>
    <w:p>
      <w:pPr>
        <w:pStyle w:val="Normal"/>
        <w:rPr>
          <w:sz w:val="24"/>
        </w:rPr>
      </w:pPr>
      <w:r>
        <w:rPr>
          <w:sz w:val="24"/>
        </w:rPr>
        <w:tab/>
        <w:t>Dylan Windham</w:t>
      </w:r>
    </w:p>
    <w:p>
      <w:pPr>
        <w:pStyle w:val="Normal"/>
        <w:rPr>
          <w:sz w:val="24"/>
        </w:rPr>
      </w:pPr>
      <w:r>
        <w:rPr>
          <w:sz w:val="24"/>
        </w:rPr>
        <w:tab/>
        <w:t>Christine Piesco</w:t>
      </w:r>
    </w:p>
    <w:p>
      <w:pPr>
        <w:pStyle w:val="Normal"/>
        <w:rPr>
          <w:i/>
          <w:i/>
          <w:sz w:val="24"/>
        </w:rPr>
      </w:pPr>
      <w:r>
        <w:rPr>
          <w:i/>
          <w:sz w:val="24"/>
        </w:rPr>
      </w:r>
    </w:p>
    <w:p>
      <w:pPr>
        <w:pStyle w:val="Normal"/>
        <w:rPr>
          <w:i/>
          <w:i/>
          <w:sz w:val="24"/>
        </w:rPr>
      </w:pPr>
      <w:r>
        <w:rPr>
          <w:i/>
          <w:sz w:val="24"/>
        </w:rPr>
      </w:r>
    </w:p>
    <w:p>
      <w:pPr>
        <w:pStyle w:val="Normal"/>
        <w:numPr>
          <w:ilvl w:val="0"/>
          <w:numId w:val="2"/>
        </w:numPr>
        <w:rPr>
          <w:i/>
          <w:i/>
          <w:sz w:val="24"/>
        </w:rPr>
      </w:pPr>
      <w:r>
        <w:rPr>
          <w:i/>
          <w:sz w:val="24"/>
        </w:rPr>
        <w:t>Under existing Spanish accounting principles, what consolidation policy should Mr. Ortiz adopt if he issued public statements for Productos Azteca?</w:t>
      </w:r>
    </w:p>
    <w:p>
      <w:pPr>
        <w:pStyle w:val="Normal"/>
        <w:rPr>
          <w:i/>
          <w:i/>
          <w:sz w:val="24"/>
        </w:rPr>
      </w:pPr>
      <w:r>
        <w:rPr>
          <w:i/>
          <w:sz w:val="24"/>
        </w:rPr>
      </w:r>
    </w:p>
    <w:p>
      <w:pPr>
        <w:pStyle w:val="Normal"/>
        <w:ind w:start="720" w:end="0"/>
        <w:rPr>
          <w:sz w:val="24"/>
        </w:rPr>
      </w:pPr>
      <w:r>
        <w:rPr>
          <w:sz w:val="24"/>
        </w:rPr>
        <w:t>Under the Royal Decree 1815/1991, Mr. Ortiz would have to adhere to a consolidation method.  He is currently not consolidating any of his companies for his private statements.  The decree requires that all companies be fully consolidated unless they fall into the exclusionary categories listed on page 80 of the text.  Based on these criteria, Mr. Ortiz could exclude the following companies for the listed reasons.</w:t>
      </w:r>
    </w:p>
    <w:p>
      <w:pPr>
        <w:pStyle w:val="Normal"/>
        <w:ind w:start="720" w:end="0"/>
        <w:rPr>
          <w:b/>
          <w:sz w:val="24"/>
        </w:rPr>
      </w:pPr>
      <w:r>
        <w:rPr>
          <w:b/>
          <w:sz w:val="24"/>
        </w:rPr>
      </w:r>
    </w:p>
    <w:p>
      <w:pPr>
        <w:pStyle w:val="Normal"/>
        <w:ind w:start="1440" w:end="0"/>
        <w:rPr/>
      </w:pPr>
      <w:r>
        <w:rPr>
          <w:b/>
          <w:sz w:val="24"/>
        </w:rPr>
        <w:t>Banco Union</w:t>
      </w:r>
      <w:r>
        <w:rPr>
          <w:sz w:val="24"/>
        </w:rPr>
        <w:t xml:space="preserve"> – Since the policy of the company is not to loan money to any other company owned by Mr. Ortiz’s, the management of Productos Azteca does not have apparent control of the entity.  It is also outside the realm of the normal textile business of Azteca.</w:t>
      </w:r>
    </w:p>
    <w:p>
      <w:pPr>
        <w:pStyle w:val="Normal"/>
        <w:ind w:start="1440" w:end="0"/>
        <w:rPr>
          <w:b/>
          <w:sz w:val="24"/>
        </w:rPr>
      </w:pPr>
      <w:r>
        <w:rPr>
          <w:b/>
          <w:sz w:val="24"/>
        </w:rPr>
      </w:r>
    </w:p>
    <w:p>
      <w:pPr>
        <w:pStyle w:val="Normal"/>
        <w:ind w:start="1440" w:end="0"/>
        <w:rPr/>
      </w:pPr>
      <w:r>
        <w:rPr>
          <w:b/>
          <w:sz w:val="24"/>
        </w:rPr>
        <w:t xml:space="preserve">Controladora Granjas – </w:t>
      </w:r>
      <w:r>
        <w:rPr>
          <w:sz w:val="24"/>
        </w:rPr>
        <w:t>this business is primarily engaged in the manufacture and sale of large pieces of equipment primarily military hardware.  Since this is outside the normal business of a textile firm, it can be excluded under the criteria that inclusion would distort the parent companies books.</w:t>
      </w:r>
    </w:p>
    <w:p>
      <w:pPr>
        <w:pStyle w:val="Normal"/>
        <w:ind w:start="1440" w:end="0"/>
        <w:rPr>
          <w:b/>
          <w:sz w:val="24"/>
        </w:rPr>
      </w:pPr>
      <w:r>
        <w:rPr>
          <w:b/>
          <w:sz w:val="24"/>
        </w:rPr>
      </w:r>
    </w:p>
    <w:p>
      <w:pPr>
        <w:pStyle w:val="Normal"/>
        <w:ind w:start="1440" w:end="0"/>
        <w:rPr/>
      </w:pPr>
      <w:r>
        <w:rPr>
          <w:b/>
          <w:sz w:val="24"/>
        </w:rPr>
        <w:t>Electron</w:t>
      </w:r>
      <w:r>
        <w:rPr>
          <w:sz w:val="24"/>
        </w:rPr>
        <w:t xml:space="preserve"> – is an electronics business.  Can be excluded due to different type of business</w:t>
      </w:r>
    </w:p>
    <w:p>
      <w:pPr>
        <w:pStyle w:val="Normal"/>
        <w:ind w:start="1440" w:end="0"/>
        <w:rPr>
          <w:b/>
          <w:sz w:val="24"/>
        </w:rPr>
      </w:pPr>
      <w:r>
        <w:rPr>
          <w:b/>
          <w:sz w:val="24"/>
        </w:rPr>
      </w:r>
    </w:p>
    <w:p>
      <w:pPr>
        <w:pStyle w:val="Normal"/>
        <w:ind w:start="1440" w:end="0"/>
        <w:rPr/>
      </w:pPr>
      <w:r>
        <w:rPr>
          <w:b/>
          <w:sz w:val="24"/>
        </w:rPr>
        <w:t>Alternativa, Bienes Raices</w:t>
      </w:r>
      <w:r>
        <w:rPr>
          <w:sz w:val="24"/>
        </w:rPr>
        <w:t xml:space="preserve"> – is a real estate leasing firm.  Since it only does business with the excluded company Electron it can be excluded for similar reasons.</w:t>
      </w:r>
    </w:p>
    <w:p>
      <w:pPr>
        <w:pStyle w:val="Normal"/>
        <w:ind w:start="1440" w:end="0"/>
        <w:rPr>
          <w:b/>
          <w:sz w:val="24"/>
        </w:rPr>
      </w:pPr>
      <w:r>
        <w:rPr>
          <w:b/>
          <w:sz w:val="24"/>
        </w:rPr>
      </w:r>
    </w:p>
    <w:p>
      <w:pPr>
        <w:pStyle w:val="BodyTextIndent3"/>
        <w:rPr>
          <w:sz w:val="24"/>
        </w:rPr>
      </w:pPr>
      <w:r>
        <w:rPr>
          <w:sz w:val="24"/>
        </w:rPr>
        <w:t>These excluded companies must be included in consolidated accounts using the equity method since the parent company has considerable influence over the excluded subsidary.</w:t>
      </w:r>
    </w:p>
    <w:p>
      <w:pPr>
        <w:pStyle w:val="Normal"/>
        <w:rPr>
          <w:sz w:val="24"/>
        </w:rPr>
      </w:pPr>
      <w:r>
        <w:rPr>
          <w:sz w:val="24"/>
        </w:rPr>
      </w:r>
    </w:p>
    <w:p>
      <w:pPr>
        <w:pStyle w:val="Normal"/>
        <w:ind w:hanging="810" w:start="810" w:end="0"/>
        <w:rPr>
          <w:sz w:val="24"/>
        </w:rPr>
      </w:pPr>
      <w:r>
        <w:rPr>
          <w:sz w:val="24"/>
        </w:rPr>
        <w:tab/>
      </w:r>
      <w:r>
        <w:rPr>
          <w:i/>
          <w:sz w:val="24"/>
        </w:rPr>
        <w:t>How would adopting these standards change the company’s financial statement?  Give examples.</w:t>
      </w:r>
    </w:p>
    <w:p>
      <w:pPr>
        <w:pStyle w:val="Normal"/>
        <w:rPr>
          <w:sz w:val="24"/>
        </w:rPr>
      </w:pPr>
      <w:r>
        <w:rPr>
          <w:sz w:val="24"/>
        </w:rPr>
      </w:r>
    </w:p>
    <w:p>
      <w:pPr>
        <w:pStyle w:val="Normal"/>
        <w:ind w:start="720" w:end="0"/>
        <w:rPr>
          <w:sz w:val="24"/>
        </w:rPr>
      </w:pPr>
      <w:r>
        <w:rPr>
          <w:sz w:val="24"/>
        </w:rPr>
        <w:t>Since the condensed Balance Sheet information provided includes “Investments in subsidiaries (cost method) and not all subsidiaries are to be included, the actual numbers cannot be computed.  The method for changing the current method is to examine the statements to remove the interrelations.  The case states that no retained earnings are transferred from company to company.  The main task would be to change the amount of this investment account for the consolidated companies.  This would be removed and the assets of those companies held on the books instead.  Also any transfer of goods and materials between companies would have to be removed from Net income.  If any dividends were paid between the companies these items would have to be removed, as they are only a transfer of cash.  Since, Mr. Ortiz holds all of each company to be consolidates, no minority interest corrections have to be made.</w:t>
      </w:r>
    </w:p>
    <w:p>
      <w:pPr>
        <w:pStyle w:val="Normal"/>
        <w:rPr>
          <w:sz w:val="24"/>
        </w:rPr>
      </w:pPr>
      <w:r>
        <w:rPr>
          <w:sz w:val="24"/>
        </w:rPr>
      </w:r>
    </w:p>
    <w:p>
      <w:pPr>
        <w:pStyle w:val="Normal"/>
        <w:ind w:start="720" w:end="0"/>
        <w:rPr>
          <w:i/>
          <w:i/>
          <w:sz w:val="24"/>
        </w:rPr>
      </w:pPr>
      <w:r>
        <w:rPr>
          <w:i/>
          <w:sz w:val="24"/>
        </w:rPr>
        <w:t>What would be the principle differences between these statements and statements prepared using FASB’s consolidation accounting standard?</w:t>
      </w:r>
    </w:p>
    <w:p>
      <w:pPr>
        <w:pStyle w:val="Normal"/>
        <w:rPr>
          <w:i/>
          <w:i/>
          <w:sz w:val="24"/>
        </w:rPr>
      </w:pPr>
      <w:r>
        <w:rPr>
          <w:i/>
          <w:sz w:val="24"/>
        </w:rPr>
      </w:r>
    </w:p>
    <w:p>
      <w:pPr>
        <w:pStyle w:val="Normal"/>
        <w:ind w:start="720" w:end="0"/>
        <w:rPr>
          <w:sz w:val="24"/>
        </w:rPr>
      </w:pPr>
      <w:r>
        <w:rPr>
          <w:sz w:val="24"/>
        </w:rPr>
        <w:t>FASB does not take into account the type of businesses being consolidated.  FASB is more concerned with whether or not the management of the parent company can exercise control over the assets of the subsidiary.  It used to define this as holding greater than 50% of the voting stock.  More recently they have changed their focus as to the level of control the parent can exercise and has exercised over the subsidiary.  Under this method, Mr. Ortiz would have to consolidate all the companies unless he could convince the government that his managers did not have the ability to utilize the assets of the subsidiaries.</w:t>
      </w:r>
    </w:p>
    <w:p>
      <w:pPr>
        <w:pStyle w:val="Normal"/>
        <w:ind w:start="720" w:end="0"/>
        <w:rPr>
          <w:sz w:val="24"/>
        </w:rPr>
      </w:pPr>
      <w:r>
        <w:rPr>
          <w:sz w:val="24"/>
        </w:rPr>
      </w:r>
    </w:p>
    <w:p>
      <w:pPr>
        <w:pStyle w:val="Normal"/>
        <w:ind w:start="720" w:end="0"/>
        <w:rPr>
          <w:sz w:val="24"/>
        </w:rPr>
      </w:pPr>
      <w:r>
        <w:rPr>
          <w:sz w:val="24"/>
        </w:rPr>
      </w:r>
    </w:p>
    <w:p>
      <w:pPr>
        <w:pStyle w:val="Normal"/>
        <w:numPr>
          <w:ilvl w:val="0"/>
          <w:numId w:val="2"/>
        </w:numPr>
        <w:rPr>
          <w:i/>
          <w:i/>
          <w:sz w:val="24"/>
        </w:rPr>
      </w:pPr>
      <w:r>
        <w:rPr>
          <w:i/>
          <w:sz w:val="24"/>
        </w:rPr>
        <w:t>Assuming that you are not constrained by any accounting principles, what subsidiaries do you think Mr. Ortiz ought to include in the consolidated statements presented in the prospectus given to potential outside investors?</w:t>
      </w:r>
    </w:p>
    <w:p>
      <w:pPr>
        <w:pStyle w:val="Normal"/>
        <w:ind w:start="720" w:end="0"/>
        <w:rPr>
          <w:i/>
          <w:i/>
          <w:sz w:val="24"/>
        </w:rPr>
      </w:pPr>
      <w:r>
        <w:rPr>
          <w:i/>
          <w:sz w:val="24"/>
        </w:rPr>
      </w:r>
    </w:p>
    <w:p>
      <w:pPr>
        <w:pStyle w:val="Normal"/>
        <w:ind w:start="720" w:end="0"/>
        <w:rPr>
          <w:sz w:val="24"/>
        </w:rPr>
      </w:pPr>
      <w:r>
        <w:rPr>
          <w:sz w:val="24"/>
        </w:rPr>
        <w:t>When reporting to external users for the purposes of raising cash through equity sale or borrowing, it is important to show a high level of owner’s equity and sales.  A secondary concern is to demonstrate growing sales and revenues.  Using this as the only guideline for the selection of which companies to include in the consolidated report, we would include the following companies for the listed reasons.</w:t>
      </w:r>
    </w:p>
    <w:p>
      <w:pPr>
        <w:pStyle w:val="Normal"/>
        <w:ind w:start="720" w:end="0"/>
        <w:rPr>
          <w:sz w:val="24"/>
        </w:rPr>
      </w:pPr>
      <w:r>
        <w:rPr>
          <w:sz w:val="24"/>
        </w:rPr>
      </w:r>
    </w:p>
    <w:p>
      <w:pPr>
        <w:pStyle w:val="Normal"/>
        <w:ind w:start="720" w:end="0"/>
        <w:rPr/>
      </w:pPr>
      <w:r>
        <w:rPr>
          <w:b/>
          <w:sz w:val="24"/>
        </w:rPr>
        <w:t xml:space="preserve">Productos Azteca – </w:t>
      </w:r>
      <w:r>
        <w:rPr>
          <w:sz w:val="24"/>
        </w:rPr>
        <w:t>It is the parent company and the largest.  Currently holds $130.1 in assets of with only $12.6 in liabilities, which translates to $117.5 in owners’ equity.  This is also coupled with strong and consistent profits after taxes.</w:t>
      </w:r>
    </w:p>
    <w:p>
      <w:pPr>
        <w:pStyle w:val="Normal"/>
        <w:ind w:start="720" w:end="0"/>
        <w:rPr>
          <w:sz w:val="24"/>
        </w:rPr>
      </w:pPr>
      <w:r>
        <w:rPr>
          <w:sz w:val="24"/>
        </w:rPr>
        <w:t xml:space="preserve"> </w:t>
      </w:r>
    </w:p>
    <w:p>
      <w:pPr>
        <w:pStyle w:val="Normal"/>
        <w:ind w:start="720" w:end="0"/>
        <w:rPr/>
      </w:pPr>
      <w:r>
        <w:rPr>
          <w:b/>
          <w:sz w:val="24"/>
        </w:rPr>
        <w:t xml:space="preserve">Tejidos de Calidad – </w:t>
      </w:r>
      <w:r>
        <w:rPr>
          <w:sz w:val="24"/>
        </w:rPr>
        <w:t xml:space="preserve">It too has strong and consistent earnings over the last 9 years.  Its current owner’s equity level is $71.3, which is 89% of book assets.  </w:t>
      </w:r>
    </w:p>
    <w:p>
      <w:pPr>
        <w:pStyle w:val="Normal"/>
        <w:ind w:start="720" w:end="0"/>
        <w:rPr>
          <w:b/>
          <w:sz w:val="24"/>
        </w:rPr>
      </w:pPr>
      <w:r>
        <w:rPr>
          <w:b/>
          <w:sz w:val="24"/>
        </w:rPr>
      </w:r>
    </w:p>
    <w:p>
      <w:pPr>
        <w:pStyle w:val="Normal"/>
        <w:ind w:start="720" w:end="0"/>
        <w:rPr/>
      </w:pPr>
      <w:r>
        <w:rPr>
          <w:b/>
          <w:sz w:val="24"/>
        </w:rPr>
        <w:t xml:space="preserve">Controladora Granjas – </w:t>
      </w:r>
      <w:r>
        <w:rPr>
          <w:sz w:val="24"/>
        </w:rPr>
        <w:t>Has seen a level profit over the last 4 years.  It also has a high level of owners’ equity as a percent of assets (88%)</w:t>
      </w:r>
    </w:p>
    <w:p>
      <w:pPr>
        <w:pStyle w:val="Normal"/>
        <w:ind w:start="720" w:end="0"/>
        <w:rPr>
          <w:b/>
          <w:sz w:val="24"/>
        </w:rPr>
      </w:pPr>
      <w:r>
        <w:rPr>
          <w:b/>
          <w:sz w:val="24"/>
        </w:rPr>
      </w:r>
    </w:p>
    <w:p>
      <w:pPr>
        <w:pStyle w:val="Normal"/>
        <w:ind w:start="720" w:end="0"/>
        <w:rPr/>
      </w:pPr>
      <w:r>
        <w:rPr>
          <w:b/>
          <w:sz w:val="24"/>
        </w:rPr>
        <w:t xml:space="preserve">Mohawk – </w:t>
      </w:r>
      <w:r>
        <w:rPr>
          <w:sz w:val="24"/>
        </w:rPr>
        <w:t>Although Mohawk’s relative asset levels and ratios are lower than the above companies, it has experienced a growing level of profits over the past 3 years (from .6 loss to 2.5 profit).  This would help to show that Productos Azteca is growing sales by investing in ventures that reap profits.</w:t>
      </w:r>
    </w:p>
    <w:p>
      <w:pPr>
        <w:pStyle w:val="Normal"/>
        <w:ind w:start="720" w:end="0"/>
        <w:rPr>
          <w:b/>
          <w:sz w:val="24"/>
        </w:rPr>
      </w:pPr>
      <w:r>
        <w:rPr>
          <w:b/>
          <w:sz w:val="24"/>
        </w:rPr>
      </w:r>
    </w:p>
    <w:p>
      <w:pPr>
        <w:pStyle w:val="Normal"/>
        <w:ind w:start="720" w:end="0"/>
        <w:rPr>
          <w:sz w:val="24"/>
        </w:rPr>
      </w:pPr>
      <w:r>
        <w:rPr>
          <w:sz w:val="24"/>
        </w:rPr>
        <w:t>Possibly,</w:t>
      </w:r>
    </w:p>
    <w:p>
      <w:pPr>
        <w:pStyle w:val="Normal"/>
        <w:ind w:start="720" w:end="0"/>
        <w:rPr>
          <w:sz w:val="24"/>
        </w:rPr>
      </w:pPr>
      <w:r>
        <w:rPr>
          <w:sz w:val="24"/>
        </w:rPr>
      </w:r>
    </w:p>
    <w:p>
      <w:pPr>
        <w:pStyle w:val="Normal"/>
        <w:ind w:start="720" w:end="0"/>
        <w:rPr/>
      </w:pPr>
      <w:r>
        <w:rPr>
          <w:b/>
          <w:sz w:val="24"/>
        </w:rPr>
        <w:t>Electron and Alternitiva</w:t>
      </w:r>
      <w:r>
        <w:rPr>
          <w:sz w:val="24"/>
        </w:rPr>
        <w:t xml:space="preserve"> – Although both companies balance sheets and profit statements are no where near as attractive as the others, including these companies may encourage investors to believe that Productos is examining new areas of revenues.  The decision to include these companies would depend upon the symbolic nature of the inclusion versus the damage it would do to the company’s ratios.</w:t>
      </w:r>
    </w:p>
    <w:p>
      <w:pPr>
        <w:pStyle w:val="Normal"/>
        <w:ind w:start="720" w:end="0"/>
        <w:rPr>
          <w:sz w:val="24"/>
        </w:rPr>
      </w:pPr>
      <w:r>
        <w:rPr>
          <w:sz w:val="24"/>
        </w:rPr>
      </w:r>
    </w:p>
    <w:p>
      <w:pPr>
        <w:pStyle w:val="Normal"/>
        <w:ind w:start="720" w:end="0"/>
        <w:rPr>
          <w:sz w:val="24"/>
        </w:rPr>
      </w:pPr>
      <w:r>
        <w:rPr>
          <w:sz w:val="24"/>
        </w:rPr>
      </w:r>
    </w:p>
    <w:p>
      <w:pPr>
        <w:pStyle w:val="BodyTextIndent"/>
        <w:numPr>
          <w:ilvl w:val="0"/>
          <w:numId w:val="3"/>
        </w:numPr>
        <w:tabs>
          <w:tab w:val="clear" w:pos="720"/>
          <w:tab w:val="left" w:pos="360" w:leader="none"/>
        </w:tabs>
        <w:ind w:hanging="360" w:start="360" w:end="0"/>
        <w:rPr/>
      </w:pPr>
      <w:r>
        <w:rPr/>
        <w:t xml:space="preserve"> </w:t>
      </w:r>
      <w:r>
        <w:rPr/>
        <w:t>Do you think it makes sense for the FASB to require consolidation of all controlled investee companies?</w:t>
      </w:r>
    </w:p>
    <w:p>
      <w:pPr>
        <w:pStyle w:val="Normal"/>
        <w:ind w:hanging="720" w:start="720" w:end="0"/>
        <w:rPr>
          <w:sz w:val="24"/>
        </w:rPr>
      </w:pPr>
      <w:r>
        <w:rPr>
          <w:sz w:val="24"/>
        </w:rPr>
      </w:r>
    </w:p>
    <w:p>
      <w:pPr>
        <w:pStyle w:val="BodyTextIndent3"/>
        <w:rPr>
          <w:sz w:val="24"/>
        </w:rPr>
      </w:pPr>
      <w:r>
        <w:rPr>
          <w:sz w:val="24"/>
        </w:rPr>
        <w:t xml:space="preserve">Consolidated financial statements generally make it easier to appraise total performance and overall risk, which is important to investors seeking to make decisions based on the information contained in financial statements. . If statements are not consolidated,  the assumption is that the controlling company has the ability to influence, and consequently individual company statements may be distorted by intercompany transactions. In such a case, the financial statements of the controlled company may not provide an accurate means of assessing performance. Consolidation cancels out any gains and losses on intercompany transactions, providing a more accurate picture than if the financial statements of each company were simply combined.  </w:t>
      </w:r>
    </w:p>
    <w:p>
      <w:pPr>
        <w:pStyle w:val="BodyTextIndent2"/>
        <w:ind w:hanging="0" w:start="720" w:end="0"/>
        <w:rPr>
          <w:sz w:val="24"/>
        </w:rPr>
      </w:pPr>
      <w:r>
        <w:rPr>
          <w:sz w:val="24"/>
        </w:rPr>
      </w:r>
    </w:p>
    <w:p>
      <w:pPr>
        <w:pStyle w:val="BodyTextIndent2"/>
        <w:ind w:hanging="0" w:start="720" w:end="0"/>
        <w:rPr/>
      </w:pPr>
      <w:r>
        <w:rPr/>
        <w:t>While consolidation is generally preferable, it may not make sense in every case.  If two companies are engaged in dramatically different businesses, consolidation may provide little useful information and may in fact obscure things.  For example, by consolidating GE Capital with GE Power Turbines, the analyst would have a difficult time assessing the individual performance of either GE Capital or GE Power Turbines absent detailed notes to the financial report.  Requiring companies to provide both consolidated and unconsolidated financials might help in these cases, though the cost of providing both needs to be considered.</w:t>
      </w:r>
    </w:p>
    <w:p>
      <w:pPr>
        <w:pStyle w:val="Normal"/>
        <w:ind w:firstLine="720" w:end="0"/>
        <w:rPr>
          <w:sz w:val="24"/>
        </w:rPr>
      </w:pPr>
      <w:r>
        <w:rPr>
          <w:sz w:val="24"/>
        </w:rPr>
      </w:r>
    </w:p>
    <w:p>
      <w:pPr>
        <w:pStyle w:val="Normal"/>
        <w:ind w:firstLine="720" w:end="0"/>
        <w:rPr>
          <w:sz w:val="24"/>
        </w:rPr>
      </w:pPr>
      <w:r>
        <w:rPr>
          <w:sz w:val="24"/>
        </w:rPr>
      </w:r>
    </w:p>
    <w:p>
      <w:pPr>
        <w:pStyle w:val="BodyTextIndent"/>
        <w:ind w:hanging="360" w:start="360" w:end="0"/>
        <w:rPr/>
      </w:pPr>
      <w:r>
        <w:rPr/>
        <w:t>4.</w:t>
        <w:tab/>
        <w:t xml:space="preserve">Assume the company sold 50% of its stock in Mohawk to a joint venture partner.  How should Productos Azteca’s joint venture interest be reflected in the Productos Azteca consolidated statements?    </w:t>
      </w:r>
    </w:p>
    <w:p>
      <w:pPr>
        <w:pStyle w:val="Normal"/>
        <w:rPr>
          <w:sz w:val="24"/>
        </w:rPr>
      </w:pPr>
      <w:r>
        <w:rPr>
          <w:sz w:val="24"/>
        </w:rPr>
      </w:r>
    </w:p>
    <w:p>
      <w:pPr>
        <w:pStyle w:val="BodyTextIndent3"/>
        <w:rPr>
          <w:sz w:val="24"/>
        </w:rPr>
      </w:pPr>
      <w:r>
        <w:rPr>
          <w:sz w:val="24"/>
        </w:rPr>
        <w:t>Royal Decree 1815/1991 permits Azteca to use either the equity method or the proportionate method to reflect the sale of 50% of Mohawk stock to a joint venture partner.  If Azteca used the equity method instead of the proportional method, it would be more difficult for an analyst to determine the individual performance of Mowhawk compared to the parent company.  This shouldn't cause too much of a problem though, since Mowhawk is similar to Azteca's core business.</w:t>
      </w:r>
    </w:p>
    <w:p>
      <w:pPr>
        <w:pStyle w:val="Normal"/>
        <w:ind w:firstLine="720" w:end="0"/>
        <w:rPr>
          <w:sz w:val="24"/>
        </w:rPr>
      </w:pPr>
      <w:r>
        <w:rPr>
          <w:sz w:val="24"/>
        </w:rPr>
      </w:r>
    </w:p>
    <w:p>
      <w:pPr>
        <w:pStyle w:val="BodyTextIndent3"/>
        <w:rPr>
          <w:sz w:val="24"/>
        </w:rPr>
      </w:pPr>
      <w:r>
        <w:rPr>
          <w:sz w:val="24"/>
        </w:rPr>
        <w:t>If Azteca was reporting in the US, and assuming it retained control, Azteca would be required to consolidate.  If the company was reporting in the US and assuming it shared control, Azteca would exclude Mohawk from consolidation and employ the equity method.</w:t>
      </w:r>
    </w:p>
    <w:p>
      <w:pPr>
        <w:pStyle w:val="Normal"/>
        <w:rPr>
          <w:sz w:val="24"/>
        </w:rPr>
      </w:pPr>
      <w:r>
        <w:rPr>
          <w:sz w:val="24"/>
        </w:rPr>
      </w:r>
    </w:p>
    <w:p>
      <w:pPr>
        <w:pStyle w:val="Normal"/>
        <w:ind w:firstLine="720" w:end="0"/>
        <w:rPr>
          <w:i/>
          <w:i/>
          <w:sz w:val="24"/>
        </w:rPr>
      </w:pPr>
      <w:r>
        <w:rPr>
          <w:i/>
          <w:sz w:val="24"/>
        </w:rPr>
        <w:t>Would you change your decision if the joint venture was jointly controlled?</w:t>
      </w:r>
    </w:p>
    <w:p>
      <w:pPr>
        <w:pStyle w:val="Normal"/>
        <w:rPr>
          <w:i/>
          <w:i/>
          <w:sz w:val="24"/>
        </w:rPr>
      </w:pPr>
      <w:r>
        <w:rPr>
          <w:i/>
          <w:sz w:val="24"/>
        </w:rPr>
      </w:r>
    </w:p>
    <w:p>
      <w:pPr>
        <w:pStyle w:val="BodyTextIndent3"/>
        <w:rPr>
          <w:sz w:val="24"/>
        </w:rPr>
      </w:pPr>
      <w:r>
        <w:rPr>
          <w:sz w:val="24"/>
        </w:rPr>
        <w:t>If the joint venture were jointly controlled, Azteca could exclude Mohawk from consolidation and employ either the equity or proportionate method.</w:t>
      </w:r>
    </w:p>
    <w:p>
      <w:pPr>
        <w:pStyle w:val="Normal"/>
        <w:rPr>
          <w:sz w:val="24"/>
        </w:rPr>
      </w:pPr>
      <w:r>
        <w:rPr>
          <w:sz w:val="24"/>
        </w:rPr>
      </w:r>
    </w:p>
    <w:p>
      <w:pPr>
        <w:pStyle w:val="Normal"/>
        <w:ind w:firstLine="720" w:end="0"/>
        <w:rPr>
          <w:sz w:val="24"/>
        </w:rPr>
      </w:pPr>
      <w:r>
        <w:rPr>
          <w:i/>
          <w:sz w:val="24"/>
        </w:rPr>
        <w:t>If Productos Azteca has sole control?</w:t>
      </w:r>
    </w:p>
    <w:p>
      <w:pPr>
        <w:pStyle w:val="Normal"/>
        <w:ind w:firstLine="720" w:end="0"/>
        <w:rPr>
          <w:sz w:val="24"/>
        </w:rPr>
      </w:pPr>
      <w:r>
        <w:rPr>
          <w:sz w:val="24"/>
        </w:rPr>
      </w:r>
    </w:p>
    <w:p>
      <w:pPr>
        <w:pStyle w:val="BodyTextIndent3"/>
        <w:rPr>
          <w:sz w:val="24"/>
        </w:rPr>
      </w:pPr>
      <w:r>
        <w:rPr>
          <w:sz w:val="24"/>
        </w:rPr>
        <w:t>If Azteca maintained sole control, Royal Decree 1815/1991 permits Azteca to exclude Mohawk from consolidation and use the equity or proportionate method.  FASB would require Azteca to consolidate, however, due to Azteca’s sole control.</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3"/>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2z0">
    <w:name w:val="WW8Num2z0"/>
    <w:qFormat/>
    <w:rPr/>
  </w:style>
  <w:style w:type="character" w:styleId="WW8Num3z0">
    <w:name w:val="WW8Num3z0"/>
    <w:qFormat/>
    <w:rPr>
      <w:i w:val="fals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i/>
      <w:sz w:val="24"/>
    </w:rPr>
  </w:style>
  <w:style w:type="paragraph" w:styleId="BodyTextIndent2">
    <w:name w:val="Body Text Indent 2"/>
    <w:basedOn w:val="Normal"/>
    <w:qFormat/>
    <w:pPr>
      <w:ind w:firstLine="720" w:start="0" w:end="0"/>
    </w:pPr>
    <w:rPr>
      <w:sz w:val="24"/>
    </w:rPr>
  </w:style>
  <w:style w:type="paragraph" w:styleId="BodyTextIndent3">
    <w:name w:val="Body Text Indent 3"/>
    <w:basedOn w:val="Normal"/>
    <w:qFormat/>
    <w:pPr>
      <w:ind w:hanging="0" w:start="72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2000-10-09T17:50:00Z</dcterms:created>
  <dc:creator>Dylan &amp; Julie Windham</dc:creator>
  <dc:description/>
  <dc:language>en-CA</dc:language>
  <cp:lastModifiedBy>jcja</cp:lastModifiedBy>
  <cp:lastPrinted>2000-10-08T20:02:00Z</cp:lastPrinted>
  <dcterms:modified xsi:type="dcterms:W3CDTF">2000-10-09T17:50:00Z</dcterms:modified>
  <cp:revision>2</cp:revision>
  <dc:subject/>
  <dc:title>1</dc:title>
</cp:coreProperties>
</file>