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14,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Ken Huffman</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Environmental Engineer</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r>
            <w:bookmarkStart w:id="3" w:name="Of"/>
            <w:bookmarkEnd w:id="3"/>
            <w:r>
              <w:rPr>
                <w:rFonts w:cs="Arial" w:ascii="Arial" w:hAnsi="Arial"/>
              </w:rPr>
              <w:t>US EPA, Region 6</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NPDES Permits, New Mexico</w:t>
            </w:r>
          </w:p>
        </w:tc>
      </w:tr>
      <w:tr>
        <w:trPr>
          <w:trHeight w:val="198"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Telephone Number:</w:t>
            </w:r>
            <w:bookmarkStart w:id="5" w:name="PhoneNumber"/>
            <w:bookmarkEnd w:id="5"/>
            <w:r>
              <w:rPr>
                <w:rFonts w:cs="Arial" w:ascii="Arial" w:hAnsi="Arial"/>
                <w:b/>
              </w:rPr>
              <w:t xml:space="preserve">  214-665-7504</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General NPDES permit for construction activities conditionally approved New Mexico for most construction stormwater sources.  This permit can be found at </w:t>
      </w:r>
      <w:hyperlink r:id="rId2">
        <w:r>
          <w:rPr>
            <w:rStyle w:val="Hyperlink"/>
          </w:rPr>
          <w:t>www.epa.gov/earth1r6/6en/w/sw/swcon98.pdf</w:t>
        </w:r>
      </w:hyperlink>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Applicant must send Notice of Intent once Storm Water Pollution Prevention Plan completed.  NOI must be filed a minimum of 48 hours before construction begins.  Applicant must send Notice of Termination once storm water discharge completed and 70% of area re-stabilized.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HOWEVER, for hydrostatic test water discharge, the general permit for construction activities has been denied.  Applicant would need to obtain an Individual NPDES Permit for this discharge.  Current waiting times are 6 months to one year.  This is a very cumbersome process for mostly clean water from a new pipeline and it is recommended that applicant work to avoid discharge into Waters of U.S. so as to avoid process.  If Individual Permit is required, applicant should call Dan French at (214) 665-7126 to obtain application and instructions.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3"/>
      <w:footerReference w:type="default" r:id="rId4"/>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/mnt/main-storage/datasets/enron-docs/doc/AW_KH091401.doc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026874142"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325112130"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earth1r6/6en/w/sw/swcon98.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2001-09-14T18:06:00Z</dcterms:created>
  <dc:creator>ENSR</dc:creator>
  <dc:description/>
  <dc:language>en-CA</dc:language>
  <cp:lastModifiedBy> </cp:lastModifiedBy>
  <cp:lastPrinted>2001-09-14T14:48:00Z</cp:lastPrinted>
  <dcterms:modified xsi:type="dcterms:W3CDTF">2001-09-14T18:18:00Z</dcterms:modified>
  <cp:revision>5</cp:revision>
  <dc:subject/>
  <dc:title>Telephone Call Summary Sheet</dc:title>
</cp:coreProperties>
</file>