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AT&amp;T – Enron Broadband Services </w:t>
      </w:r>
    </w:p>
    <w:p>
      <w:pPr>
        <w:pStyle w:val="Heading1"/>
        <w:ind w:hanging="0" w:start="0"/>
        <w:rPr/>
      </w:pPr>
      <w:r>
        <w:rPr/>
        <w:t>Joint Venture</w:t>
      </w:r>
    </w:p>
    <w:p>
      <w:pPr>
        <w:pStyle w:val="Normal"/>
        <w:rPr>
          <w:sz w:val="24"/>
        </w:rPr>
      </w:pPr>
      <w:r>
        <w:rPr>
          <w:sz w:val="24"/>
        </w:rPr>
      </w:r>
    </w:p>
    <w:p>
      <w:pPr>
        <w:pStyle w:val="Heading2"/>
        <w:ind w:hanging="0" w:start="0"/>
        <w:rPr>
          <w:u w:val="single"/>
        </w:rPr>
      </w:pPr>
      <w:r>
        <w:rPr>
          <w:u w:val="single"/>
        </w:rPr>
        <w:t>Principle</w:t>
      </w:r>
    </w:p>
    <w:p>
      <w:pPr>
        <w:pStyle w:val="Normal"/>
        <w:rPr>
          <w:sz w:val="24"/>
          <w:u w:val="single"/>
        </w:rPr>
      </w:pPr>
      <w:r>
        <w:rPr>
          <w:sz w:val="24"/>
          <w:u w:val="single"/>
        </w:rPr>
      </w:r>
    </w:p>
    <w:p>
      <w:pPr>
        <w:pStyle w:val="Normal"/>
        <w:rPr>
          <w:sz w:val="24"/>
        </w:rPr>
      </w:pPr>
      <w:r>
        <w:rPr>
          <w:sz w:val="24"/>
        </w:rPr>
        <w:t xml:space="preserve">AT&amp;T and Enron Broadband Services (“EBS”) agree to establish a joint venture to pursue global intermediation of long haul bandwidth and related markets. </w:t>
      </w:r>
    </w:p>
    <w:p>
      <w:pPr>
        <w:pStyle w:val="Normal"/>
        <w:rPr>
          <w:sz w:val="24"/>
        </w:rPr>
      </w:pPr>
      <w:r>
        <w:rPr>
          <w:sz w:val="24"/>
        </w:rPr>
      </w:r>
    </w:p>
    <w:p>
      <w:pPr>
        <w:pStyle w:val="Normal"/>
        <w:rPr>
          <w:sz w:val="24"/>
        </w:rPr>
      </w:pPr>
      <w:r>
        <w:rPr>
          <w:sz w:val="24"/>
        </w:rPr>
      </w:r>
    </w:p>
    <w:p>
      <w:pPr>
        <w:pStyle w:val="Heading3"/>
        <w:ind w:hanging="0" w:start="0"/>
        <w:rPr/>
      </w:pPr>
      <w:r>
        <w:rPr/>
        <w:t>Scope of Joint Venture</w:t>
      </w:r>
    </w:p>
    <w:p>
      <w:pPr>
        <w:pStyle w:val="Normal"/>
        <w:rPr>
          <w:sz w:val="24"/>
        </w:rPr>
      </w:pPr>
      <w:r>
        <w:rPr>
          <w:sz w:val="24"/>
        </w:rPr>
      </w:r>
    </w:p>
    <w:p>
      <w:pPr>
        <w:pStyle w:val="Normal"/>
        <w:rPr>
          <w:sz w:val="24"/>
        </w:rPr>
      </w:pPr>
      <w:r>
        <w:rPr>
          <w:sz w:val="24"/>
        </w:rPr>
        <w:t>The scope of activities in which the JV will conduct business includes long haul dark fiber, wave lengths, circuits, IP transport, IP transit, storage, voice and related activities in finance, colocation, equipment, etc.</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EBS Contributions to the JV</w:t>
      </w:r>
    </w:p>
    <w:p>
      <w:pPr>
        <w:pStyle w:val="Normal"/>
        <w:rPr>
          <w:sz w:val="24"/>
          <w:u w:val="single"/>
        </w:rPr>
      </w:pPr>
      <w:r>
        <w:rPr>
          <w:sz w:val="24"/>
          <w:u w:val="single"/>
        </w:rPr>
      </w:r>
    </w:p>
    <w:p>
      <w:pPr>
        <w:pStyle w:val="Normal"/>
        <w:numPr>
          <w:ilvl w:val="0"/>
          <w:numId w:val="5"/>
        </w:numPr>
        <w:rPr>
          <w:sz w:val="24"/>
        </w:rPr>
      </w:pPr>
      <w:r>
        <w:rPr>
          <w:sz w:val="24"/>
        </w:rPr>
        <w:t>Balance sheet and credit support necessary for the JV to pursue the agreed scope of activities.</w:t>
      </w:r>
    </w:p>
    <w:p>
      <w:pPr>
        <w:pStyle w:val="Normal"/>
        <w:rPr>
          <w:sz w:val="24"/>
        </w:rPr>
      </w:pPr>
      <w:r>
        <w:rPr>
          <w:sz w:val="24"/>
        </w:rPr>
      </w:r>
    </w:p>
    <w:p>
      <w:pPr>
        <w:pStyle w:val="Normal"/>
        <w:numPr>
          <w:ilvl w:val="0"/>
          <w:numId w:val="5"/>
        </w:numPr>
        <w:rPr>
          <w:sz w:val="24"/>
        </w:rPr>
      </w:pPr>
      <w:r>
        <w:rPr>
          <w:sz w:val="24"/>
        </w:rPr>
        <w:t xml:space="preserve">All employees necessary to pursue the activities of the JV including those with expertise in risk management, trading, back office, origination, finance, accounting, management, marketing, etc. </w:t>
      </w:r>
    </w:p>
    <w:p>
      <w:pPr>
        <w:pStyle w:val="Normal"/>
        <w:rPr>
          <w:sz w:val="24"/>
        </w:rPr>
      </w:pPr>
      <w:r>
        <w:rPr>
          <w:sz w:val="24"/>
        </w:rPr>
      </w:r>
    </w:p>
    <w:p>
      <w:pPr>
        <w:pStyle w:val="Normal"/>
        <w:numPr>
          <w:ilvl w:val="0"/>
          <w:numId w:val="5"/>
        </w:numPr>
        <w:rPr>
          <w:sz w:val="24"/>
        </w:rPr>
      </w:pPr>
      <w:r>
        <w:rPr>
          <w:sz w:val="24"/>
        </w:rPr>
        <w:t xml:space="preserve">All office real estate, computers, systems, network proprietary software, furniture, etc. necessary to operate the JV. </w:t>
      </w:r>
    </w:p>
    <w:p>
      <w:pPr>
        <w:pStyle w:val="Normal"/>
        <w:rPr>
          <w:sz w:val="24"/>
        </w:rPr>
      </w:pPr>
      <w:r>
        <w:rPr>
          <w:sz w:val="24"/>
        </w:rPr>
      </w:r>
    </w:p>
    <w:p>
      <w:pPr>
        <w:pStyle w:val="Normal"/>
        <w:numPr>
          <w:ilvl w:val="0"/>
          <w:numId w:val="5"/>
        </w:numPr>
        <w:rPr>
          <w:sz w:val="24"/>
        </w:rPr>
      </w:pPr>
      <w:r>
        <w:rPr>
          <w:sz w:val="24"/>
        </w:rPr>
        <w:t>Network interconnection facilities including pooling points and related colocation facilities and equipment located in Seattle, Portland, San Francisco, San Jose, Los Angeles, Las Vegas, Salt Lake City, Denver, Dallas, Houston, New Orleans, Chicago, Atlanta, Miami, Washington DC, Philadelphia, New York, Boston, London, Paris, Brussels, Amsterdam, Frankfurt, Dusseldorf and Tokyo.</w:t>
      </w:r>
    </w:p>
    <w:p>
      <w:pPr>
        <w:pStyle w:val="Normal"/>
        <w:rPr>
          <w:sz w:val="24"/>
        </w:rPr>
      </w:pPr>
      <w:r>
        <w:rPr>
          <w:sz w:val="24"/>
        </w:rPr>
      </w:r>
    </w:p>
    <w:p>
      <w:pPr>
        <w:pStyle w:val="Normal"/>
        <w:rPr>
          <w:sz w:val="24"/>
        </w:rPr>
      </w:pPr>
      <w:r>
        <w:rPr>
          <w:sz w:val="24"/>
        </w:rPr>
      </w:r>
    </w:p>
    <w:p>
      <w:pPr>
        <w:pStyle w:val="Heading3"/>
        <w:ind w:hanging="0" w:start="0"/>
        <w:rPr/>
      </w:pPr>
      <w:r>
        <w:rPr/>
        <w:t>EBS Contributions to AT&amp;T</w:t>
      </w:r>
    </w:p>
    <w:p>
      <w:pPr>
        <w:pStyle w:val="Normal"/>
        <w:rPr>
          <w:sz w:val="24"/>
        </w:rPr>
      </w:pPr>
      <w:r>
        <w:rPr>
          <w:sz w:val="24"/>
        </w:rPr>
      </w:r>
    </w:p>
    <w:p>
      <w:pPr>
        <w:pStyle w:val="Normal"/>
        <w:numPr>
          <w:ilvl w:val="0"/>
          <w:numId w:val="2"/>
        </w:numPr>
        <w:rPr>
          <w:sz w:val="24"/>
        </w:rPr>
      </w:pPr>
      <w:r>
        <w:rPr>
          <w:sz w:val="24"/>
        </w:rPr>
        <w:t xml:space="preserve">All EBS network assets not strategic to the JV including: a long haul dark fiber network of approximately 17,000 route miles; additional long haul dark fiber inventory; metro dark fiber; colocation along fiber routes; lit intercity fiber pairs and related Ciena, Sycamore and Cisco equipment; and employees associated with operation of these networks. </w:t>
      </w:r>
    </w:p>
    <w:p>
      <w:pPr>
        <w:pStyle w:val="Normal"/>
        <w:rPr>
          <w:sz w:val="24"/>
        </w:rPr>
      </w:pPr>
      <w:r>
        <w:rPr>
          <w:sz w:val="24"/>
        </w:rPr>
      </w:r>
    </w:p>
    <w:p>
      <w:pPr>
        <w:pStyle w:val="Heading3"/>
        <w:ind w:hanging="0" w:start="0"/>
        <w:rPr/>
      </w:pPr>
      <w:r>
        <w:rPr/>
        <w:t>AT&amp;T Contributions to the JV</w:t>
      </w:r>
    </w:p>
    <w:p>
      <w:pPr>
        <w:pStyle w:val="Normal"/>
        <w:rPr>
          <w:sz w:val="24"/>
        </w:rPr>
      </w:pPr>
      <w:r>
        <w:rPr>
          <w:sz w:val="24"/>
        </w:rPr>
      </w:r>
    </w:p>
    <w:p>
      <w:pPr>
        <w:pStyle w:val="Normal"/>
        <w:numPr>
          <w:ilvl w:val="0"/>
          <w:numId w:val="3"/>
        </w:numPr>
        <w:rPr>
          <w:sz w:val="24"/>
        </w:rPr>
      </w:pPr>
      <w:r>
        <w:rPr>
          <w:sz w:val="24"/>
        </w:rPr>
        <w:t xml:space="preserve">Interconnection facilities in a minimum of 50 mutually agreed cities worldwide. </w:t>
      </w:r>
    </w:p>
    <w:p>
      <w:pPr>
        <w:pStyle w:val="Normal"/>
        <w:rPr>
          <w:sz w:val="24"/>
        </w:rPr>
      </w:pPr>
      <w:r>
        <w:rPr>
          <w:sz w:val="24"/>
        </w:rPr>
      </w:r>
    </w:p>
    <w:p>
      <w:pPr>
        <w:pStyle w:val="Normal"/>
        <w:numPr>
          <w:ilvl w:val="0"/>
          <w:numId w:val="3"/>
        </w:numPr>
        <w:rPr>
          <w:sz w:val="24"/>
        </w:rPr>
      </w:pPr>
      <w:r>
        <w:rPr>
          <w:sz w:val="24"/>
        </w:rPr>
        <w:t>A service agreement to provide local access for preferential rates in all markets where AT&amp;T operates.</w:t>
      </w:r>
    </w:p>
    <w:p>
      <w:pPr>
        <w:pStyle w:val="Normal"/>
        <w:rPr>
          <w:sz w:val="24"/>
        </w:rPr>
      </w:pPr>
      <w:r>
        <w:rPr>
          <w:sz w:val="24"/>
        </w:rPr>
      </w:r>
    </w:p>
    <w:p>
      <w:pPr>
        <w:pStyle w:val="Normal"/>
        <w:numPr>
          <w:ilvl w:val="0"/>
          <w:numId w:val="3"/>
        </w:numPr>
        <w:rPr>
          <w:sz w:val="24"/>
        </w:rPr>
      </w:pPr>
      <w:r>
        <w:rPr>
          <w:sz w:val="24"/>
        </w:rPr>
        <w:t>Guaranteed long haul capacity throughout the AT&amp;T backbone for market determined rates.</w:t>
      </w:r>
    </w:p>
    <w:p>
      <w:pPr>
        <w:pStyle w:val="Normal"/>
        <w:rPr>
          <w:sz w:val="24"/>
        </w:rPr>
      </w:pPr>
      <w:r>
        <w:rPr>
          <w:sz w:val="24"/>
        </w:rPr>
      </w:r>
    </w:p>
    <w:p>
      <w:pPr>
        <w:pStyle w:val="Normal"/>
        <w:rPr>
          <w:sz w:val="24"/>
        </w:rPr>
      </w:pPr>
      <w:r>
        <w:rPr>
          <w:sz w:val="24"/>
        </w:rPr>
      </w:r>
    </w:p>
    <w:p>
      <w:pPr>
        <w:pStyle w:val="Heading3"/>
        <w:ind w:hanging="0" w:start="0"/>
        <w:rPr/>
      </w:pPr>
      <w:r>
        <w:rPr/>
        <w:t>Right of Last Look</w:t>
      </w:r>
    </w:p>
    <w:p>
      <w:pPr>
        <w:pStyle w:val="Normal"/>
        <w:rPr/>
      </w:pPr>
      <w:r>
        <w:rPr/>
      </w:r>
    </w:p>
    <w:p>
      <w:pPr>
        <w:pStyle w:val="Normal"/>
        <w:numPr>
          <w:ilvl w:val="0"/>
          <w:numId w:val="6"/>
        </w:numPr>
        <w:rPr>
          <w:sz w:val="24"/>
        </w:rPr>
      </w:pPr>
      <w:r>
        <w:rPr>
          <w:sz w:val="24"/>
        </w:rPr>
        <w:t xml:space="preserve">Enron agrees that AT&amp;T will have the right to supply from its long haul network to the JV at market determined rates any future transaction of the JV with a third party to purchase long haul bandwidth. </w:t>
      </w:r>
    </w:p>
    <w:p>
      <w:pPr>
        <w:pStyle w:val="Normal"/>
        <w:rPr>
          <w:sz w:val="24"/>
        </w:rPr>
      </w:pPr>
      <w:r>
        <w:rPr>
          <w:sz w:val="24"/>
        </w:rPr>
      </w:r>
    </w:p>
    <w:p>
      <w:pPr>
        <w:pStyle w:val="Normal"/>
        <w:numPr>
          <w:ilvl w:val="0"/>
          <w:numId w:val="6"/>
        </w:numPr>
        <w:rPr>
          <w:sz w:val="24"/>
        </w:rPr>
      </w:pPr>
      <w:r>
        <w:rPr>
          <w:sz w:val="24"/>
        </w:rPr>
        <w:t xml:space="preserve">AT&amp;T agrees that the JV will have the right to supply to AT&amp;T at market rates any future transaction of AT&amp;T to purchase services or assets within the scope of activities of the JV. </w:t>
      </w:r>
    </w:p>
    <w:p>
      <w:pPr>
        <w:pStyle w:val="Normal"/>
        <w:rPr>
          <w:sz w:val="24"/>
        </w:rPr>
      </w:pPr>
      <w:r>
        <w:rPr>
          <w:sz w:val="24"/>
        </w:rPr>
      </w:r>
    </w:p>
    <w:p>
      <w:pPr>
        <w:pStyle w:val="Normal"/>
        <w:rPr>
          <w:sz w:val="24"/>
        </w:rPr>
      </w:pPr>
      <w:r>
        <w:rPr>
          <w:sz w:val="24"/>
        </w:rPr>
      </w:r>
    </w:p>
    <w:p>
      <w:pPr>
        <w:pStyle w:val="Heading3"/>
        <w:ind w:hanging="0" w:start="0"/>
        <w:rPr/>
      </w:pPr>
      <w:r>
        <w:rPr/>
        <w:t>Joint Venture Structure</w:t>
      </w:r>
    </w:p>
    <w:p>
      <w:pPr>
        <w:pStyle w:val="Normal"/>
        <w:rPr>
          <w:sz w:val="24"/>
        </w:rPr>
      </w:pPr>
      <w:r>
        <w:rPr>
          <w:sz w:val="24"/>
        </w:rPr>
      </w:r>
    </w:p>
    <w:p>
      <w:pPr>
        <w:pStyle w:val="Normal"/>
        <w:numPr>
          <w:ilvl w:val="0"/>
          <w:numId w:val="4"/>
        </w:numPr>
        <w:rPr>
          <w:sz w:val="24"/>
        </w:rPr>
      </w:pPr>
      <w:r>
        <w:rPr>
          <w:sz w:val="24"/>
        </w:rPr>
        <w:t>EBS will operate the JV.</w:t>
      </w:r>
    </w:p>
    <w:p>
      <w:pPr>
        <w:pStyle w:val="Normal"/>
        <w:rPr>
          <w:sz w:val="24"/>
        </w:rPr>
      </w:pPr>
      <w:r>
        <w:rPr>
          <w:sz w:val="24"/>
        </w:rPr>
      </w:r>
    </w:p>
    <w:p>
      <w:pPr>
        <w:pStyle w:val="Normal"/>
        <w:numPr>
          <w:ilvl w:val="0"/>
          <w:numId w:val="4"/>
        </w:numPr>
        <w:rPr>
          <w:sz w:val="24"/>
        </w:rPr>
      </w:pPr>
      <w:r>
        <w:rPr>
          <w:sz w:val="24"/>
        </w:rPr>
        <w:t>AT&amp;T will receive X% of the net profits of the JV.</w:t>
      </w:r>
    </w:p>
    <w:p>
      <w:pPr>
        <w:pStyle w:val="Normal"/>
        <w:rPr>
          <w:sz w:val="24"/>
        </w:rPr>
      </w:pPr>
      <w:r>
        <w:rPr>
          <w:sz w:val="24"/>
        </w:rPr>
      </w:r>
    </w:p>
    <w:p>
      <w:pPr>
        <w:pStyle w:val="Normal"/>
        <w:rPr>
          <w:sz w:val="24"/>
        </w:rPr>
      </w:pPr>
      <w:r>
        <w:rPr>
          <w:sz w:val="24"/>
        </w:rPr>
      </w:r>
    </w:p>
    <w:p>
      <w:pPr>
        <w:pStyle w:val="Heading3"/>
        <w:ind w:hanging="0" w:start="0"/>
        <w:rPr/>
      </w:pPr>
      <w:r>
        <w:rPr/>
        <w:t>Proposed Next Steps</w:t>
      </w:r>
    </w:p>
    <w:p>
      <w:pPr>
        <w:pStyle w:val="Normal"/>
        <w:rPr>
          <w:sz w:val="24"/>
          <w:u w:val="single"/>
        </w:rPr>
      </w:pPr>
      <w:r>
        <w:rPr>
          <w:sz w:val="24"/>
          <w:u w:val="single"/>
        </w:rPr>
      </w:r>
    </w:p>
    <w:p>
      <w:pPr>
        <w:pStyle w:val="BodyText"/>
        <w:rPr/>
      </w:pPr>
      <w:r>
        <w:rPr/>
        <w:t>Should AT&amp;T favorably receive this proposal, a follow-up meeting should be scheduled which would include not only D. Dorman from AT&amp;T but also his selected commercial director(s).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2001-05-16T19:39:00Z</dcterms:created>
  <dc:creator>stewart_seeligson</dc:creator>
  <dc:description/>
  <dc:language>en-CA</dc:language>
  <cp:lastModifiedBy>stewart_seeligson</cp:lastModifiedBy>
  <cp:lastPrinted>2001-05-16T15:47:00Z</cp:lastPrinted>
  <dcterms:modified xsi:type="dcterms:W3CDTF">2001-05-16T19:55:00Z</dcterms:modified>
  <cp:revision>3</cp:revision>
  <dc:subject/>
  <dc:title>AT&amp;T – Enron Joint Venture</dc:title>
</cp:coreProperties>
</file>