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i w:val="false"/>
          <w:i w:val="false"/>
          <w:sz w:val="28"/>
        </w:rPr>
      </w:pPr>
      <w:r>
        <w:rPr>
          <w:b/>
          <w:i w:val="false"/>
          <w:sz w:val="28"/>
        </w:rPr>
        <w:t xml:space="preserve">ATTACHMENT H </w:t>
      </w:r>
    </w:p>
    <w:p>
      <w:pPr>
        <w:pStyle w:val="BodyText"/>
        <w:jc w:val="center"/>
        <w:rPr>
          <w:b/>
          <w:i w:val="false"/>
          <w:i w:val="false"/>
          <w:sz w:val="22"/>
        </w:rPr>
      </w:pPr>
      <w:r>
        <w:rPr>
          <w:b/>
          <w:i w:val="false"/>
          <w:sz w:val="28"/>
        </w:rPr>
        <w:t>EXCEPTIONS TO BASIC TERMS AND CONDITIONS</w:t>
      </w:r>
    </w:p>
    <w:p>
      <w:pPr>
        <w:pStyle w:val="BodyText"/>
        <w:jc w:val="center"/>
        <w:rPr>
          <w:b/>
          <w:i w:val="false"/>
          <w:i w:val="false"/>
          <w:sz w:val="22"/>
        </w:rPr>
      </w:pPr>
      <w:r>
        <w:rPr>
          <w:b/>
          <w:i w:val="false"/>
          <w:sz w:val="22"/>
        </w:rPr>
      </w:r>
    </w:p>
    <w:p>
      <w:pPr>
        <w:pStyle w:val="Normal"/>
        <w:jc w:val="both"/>
        <w:rPr>
          <w:rFonts w:ascii="Arial" w:hAnsi="Arial" w:cs="Arial"/>
          <w:b/>
          <w:i/>
          <w:i/>
          <w:sz w:val="22"/>
        </w:rPr>
      </w:pPr>
      <w:r>
        <w:rPr>
          <w:rFonts w:cs="Arial" w:ascii="Arial" w:hAnsi="Arial"/>
          <w:b/>
          <w:i/>
          <w:sz w:val="22"/>
        </w:rPr>
      </w:r>
    </w:p>
    <w:p>
      <w:pPr>
        <w:pStyle w:val="BodyText2"/>
        <w:jc w:val="both"/>
        <w:rPr>
          <w:i/>
          <w:i/>
          <w:sz w:val="22"/>
        </w:rPr>
      </w:pPr>
      <w:r>
        <w:rPr>
          <w:i/>
          <w:sz w:val="22"/>
        </w:rPr>
        <w:t>All terms, conditions, and pricing will be governed by the Draft Term Sheet should a discrepancy occur between it and any related AE RFP No. DC01300004 document or document provided contemporaneous herewith.</w:t>
      </w:r>
    </w:p>
    <w:p>
      <w:pPr>
        <w:pStyle w:val="Normal"/>
        <w:jc w:val="both"/>
        <w:rPr>
          <w:rFonts w:ascii="Arial" w:hAnsi="Arial" w:cs="Arial"/>
          <w:i/>
          <w:i/>
          <w:sz w:val="22"/>
        </w:rPr>
      </w:pPr>
      <w:r>
        <w:rPr>
          <w:rFonts w:cs="Arial" w:ascii="Arial" w:hAnsi="Arial"/>
          <w:i/>
          <w:sz w:val="22"/>
        </w:rPr>
      </w:r>
    </w:p>
    <w:p>
      <w:pPr>
        <w:pStyle w:val="Normal"/>
        <w:jc w:val="both"/>
        <w:rPr>
          <w:rFonts w:ascii="Arial" w:hAnsi="Arial" w:cs="Arial"/>
          <w:sz w:val="22"/>
        </w:rPr>
      </w:pPr>
      <w:r>
        <w:rPr>
          <w:rFonts w:cs="Arial" w:ascii="Arial" w:hAnsi="Arial"/>
          <w:sz w:val="22"/>
        </w:rPr>
        <w:t>All terms and conditions, including but not limited to those governing events of default and remedies, dispute resolution, limitations of damages, credit, confidentiality, governing law and environmental matters, would be negotiated between the parties prior to execution of a definitive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EPMI has done an initial review of AE proposed terms and conditions and although the majority are acceptable, EPMI would like to discuss them with AE to determine applicability and the inclusion of additional applicable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EPMI feels that satisfying both AE’s and EPMI’s terms and conditions requirements can be attained expeditiously due to Enron and AE currently have at least two active agreements from which terms have previously been agreed to can be referenced.  The two active agreements are as follows:</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Master Power Purchase and Sales Contract dated April 23, 1998 between EPMI and the City of Austin.</w:t>
      </w:r>
    </w:p>
    <w:p>
      <w:pPr>
        <w:pStyle w:val="Normal"/>
        <w:numPr>
          <w:ilvl w:val="0"/>
          <w:numId w:val="1"/>
        </w:numPr>
        <w:jc w:val="both"/>
        <w:rPr>
          <w:rFonts w:ascii="Arial" w:hAnsi="Arial" w:cs="Arial"/>
          <w:sz w:val="22"/>
        </w:rPr>
      </w:pPr>
      <w:r>
        <w:rPr>
          <w:rFonts w:cs="Arial" w:ascii="Arial" w:hAnsi="Arial"/>
          <w:sz w:val="22"/>
        </w:rPr>
        <w:t>Participation Agreement between Enron Sandhill Limited Partnership and City of Austin.</w:t>
      </w:r>
    </w:p>
    <w:p>
      <w:pPr>
        <w:pStyle w:val="Normal"/>
        <w:jc w:val="both"/>
        <w:rPr>
          <w:rFonts w:ascii="Arial" w:hAnsi="Arial" w:cs="Arial"/>
          <w:sz w:val="22"/>
        </w:rPr>
      </w:pPr>
      <w:r>
        <w:rPr>
          <w:rFonts w:cs="Arial" w:ascii="Arial" w:hAnsi="Arial"/>
          <w:sz w:val="22"/>
        </w:rPr>
      </w:r>
    </w:p>
    <w:p>
      <w:pPr>
        <w:pStyle w:val="Normal"/>
        <w:jc w:val="both"/>
        <w:rPr>
          <w:rFonts w:ascii="Arial" w:hAnsi="Arial" w:cs="Arial"/>
          <w:color w:val="000000"/>
          <w:sz w:val="22"/>
        </w:rPr>
      </w:pPr>
      <w:r>
        <w:rPr>
          <w:rFonts w:cs="Arial" w:ascii="Arial" w:hAnsi="Arial"/>
          <w:color w:val="000000"/>
          <w:sz w:val="22"/>
        </w:rPr>
        <w:t>The prices in this Draft Term Sheet are subject to change due to market conditions.  EPMI has provided AE indicative prices based on the current market conditions.  This Draft Term Sheet is not a firm proposal and cannot be held firm for 180 days (reference Section 600, Part VIII Proposal Acceptance Period) in the RFP).</w:t>
      </w:r>
    </w:p>
    <w:p>
      <w:pPr>
        <w:pStyle w:val="BodyText"/>
        <w:jc w:val="both"/>
        <w:rPr>
          <w:rFonts w:ascii="Arial" w:hAnsi="Arial" w:cs="Arial"/>
          <w:i w:val="false"/>
          <w:i w:val="false"/>
          <w:color w:val="000000"/>
          <w:sz w:val="22"/>
        </w:rPr>
      </w:pPr>
      <w:r>
        <w:rPr>
          <w:rFonts w:cs="Arial"/>
          <w:i w:val="false"/>
          <w:color w:val="000000"/>
          <w:sz w:val="22"/>
        </w:rPr>
      </w:r>
    </w:p>
    <w:p>
      <w:pPr>
        <w:pStyle w:val="BodyText"/>
        <w:rPr>
          <w:i w:val="false"/>
          <w:i w:val="false"/>
          <w:sz w:val="22"/>
        </w:rPr>
      </w:pPr>
      <w:r>
        <w:rPr>
          <w:i w:val="false"/>
          <w:sz w:val="22"/>
        </w:rPr>
      </w:r>
    </w:p>
    <w:p>
      <w:pPr>
        <w:pStyle w:val="Normal"/>
        <w:rPr>
          <w:i/>
          <w:i/>
          <w:sz w:val="22"/>
        </w:rPr>
      </w:pPr>
      <w:r>
        <w:rPr>
          <w:i/>
          <w:sz w:val="22"/>
        </w:rPr>
      </w:r>
    </w:p>
    <w:sectPr>
      <w:headerReference w:type="default" r:id="rId2"/>
      <w:footerReference w:type="default" r:id="rId3"/>
      <w:type w:val="nextPage"/>
      <w:pgSz w:w="12240" w:h="15840"/>
      <w:pgMar w:left="1800" w:right="1800" w:gutter="0" w:header="720" w:top="1710" w:footer="93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Not an Offer, For Discussion Purposes Only.</w:t>
    </w:r>
  </w:p>
  <w:p>
    <w:pPr>
      <w:pStyle w:val="Header"/>
      <w:jc w:val="end"/>
      <w:rPr>
        <w:b/>
        <w:bCs/>
      </w:rPr>
    </w:pPr>
    <w:r>
      <w:rPr>
        <w:b/>
        <w:bCs/>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b/>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2001-01-18T18:37:00Z</dcterms:created>
  <dc:creator>cahn</dc:creator>
  <dc:description/>
  <dc:language>en-CA</dc:language>
  <cp:lastModifiedBy>cahn</cp:lastModifiedBy>
  <dcterms:modified xsi:type="dcterms:W3CDTF">2001-01-18T18:38:00Z</dcterms:modified>
  <cp:revision>1</cp:revision>
  <dc:subject/>
  <dc:title>ATTACHMENT H </dc:title>
</cp:coreProperties>
</file>