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4"/>
          <w:u w:val="none"/>
        </w:rPr>
      </w:pPr>
      <w:r>
        <w:rPr>
          <w:b/>
          <w:sz w:val="24"/>
        </w:rPr>
        <w:t>ATTACHMENT 6</w:t>
      </w:r>
    </w:p>
    <w:p>
      <w:pPr>
        <w:pStyle w:val="Heading2"/>
        <w:ind w:hanging="0" w:start="0"/>
        <w:rPr/>
      </w:pPr>
      <w:r>
        <w:rPr/>
        <w:t>1998 SoCalGas Embedded Storage Costs by Product</w:t>
      </w:r>
    </w:p>
    <w:p>
      <w:pPr>
        <w:pStyle w:val="Heading1"/>
        <w:spacing w:lineRule="auto" w:line="240"/>
        <w:ind w:hanging="0" w:start="0"/>
        <w:rPr/>
      </w:pPr>
      <w:r>
        <w:rPr/>
      </w:r>
    </w:p>
    <w:p>
      <w:pPr>
        <w:pStyle w:val="Heading1"/>
        <w:ind w:hanging="0" w:start="0"/>
        <w:rPr/>
      </w:pPr>
      <w:r>
        <w:rPr/>
        <w:t>Reservation Charges, Embedded Cost Basis</w:t>
      </w:r>
    </w:p>
    <w:p>
      <w:pPr>
        <w:pStyle w:val="Normal"/>
        <w:spacing w:lineRule="auto" w:line="360" w:before="0" w:after="120"/>
        <w:rPr/>
      </w:pPr>
      <w:r>
        <w:rPr/>
        <w:t>SoCalGas’ total storage capacity, exclusive of the Montebello storage field, consists of 105.6 BCF of inventory, 803 MMcfd of firm injection, and 3125 MMcfd of firm withdrawal.  The embedded costs for each of these products was determined to be $22.05 million for inventory, $31.82 million for injection, and $17.73 million for withdrawal, excluding variable and fuel costs.  Embedded reservation charges were calculated by dividing the embedded cost by the firm capacity, as shown in the following table:</w:t>
      </w:r>
    </w:p>
    <w:p>
      <w:pPr>
        <w:pStyle w:val="Normal"/>
        <w:spacing w:lineRule="auto" w:line="360" w:before="0" w:after="120"/>
        <w:rPr/>
      </w:pPr>
      <w:bookmarkStart w:id="0" w:name="_1017742885"/>
      <w:bookmarkStart w:id="1" w:name="_1017660887"/>
      <w:bookmarkStart w:id="2" w:name="_1017659270"/>
      <w:bookmarkStart w:id="3" w:name="_1017658143"/>
      <w:bookmarkStart w:id="4" w:name="_1017657860"/>
      <w:bookmarkEnd w:id="0"/>
      <w:bookmarkEnd w:id="1"/>
      <w:bookmarkEnd w:id="2"/>
      <w:bookmarkEnd w:id="3"/>
      <w:bookmarkEnd w:id="4"/>
      <w:r>
        <w:rPr/>
        <w:object w:dxaOrig="7284" w:dyaOrig="184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3.6pt;height:87.5pt" filled="f" o:ole="">
            <v:imagedata r:id="rId3" o:title=""/>
          </v:shape>
          <o:OLEObject Type="Embed" ProgID="Excel.Sheet.12" ShapeID="ole_rId2" DrawAspect="Content" ObjectID="_1044937065" r:id="rId2"/>
        </w:object>
      </w:r>
    </w:p>
    <w:p>
      <w:pPr>
        <w:pStyle w:val="Normal"/>
        <w:spacing w:lineRule="auto" w:line="360" w:before="0" w:after="120"/>
        <w:rPr/>
      </w:pPr>
      <w:r>
        <w:rPr/>
      </w:r>
    </w:p>
    <w:p>
      <w:pPr>
        <w:pStyle w:val="Heading1"/>
        <w:ind w:hanging="0" w:start="0"/>
        <w:rPr/>
      </w:pPr>
      <w:r>
        <w:rPr/>
        <w:t>Embedded costs for core storage</w:t>
      </w:r>
    </w:p>
    <w:p>
      <w:pPr>
        <w:pStyle w:val="Normal"/>
        <w:spacing w:lineRule="auto" w:line="360" w:before="0" w:after="120"/>
        <w:rPr/>
      </w:pPr>
      <w:bookmarkStart w:id="5" w:name="_1018248315"/>
      <w:bookmarkStart w:id="6" w:name="_1018240927"/>
      <w:bookmarkStart w:id="7" w:name="_1018240738"/>
      <w:bookmarkStart w:id="8" w:name="_1017744587"/>
      <w:bookmarkStart w:id="9" w:name="_1017743248"/>
      <w:bookmarkStart w:id="10" w:name="_1017741491"/>
      <w:bookmarkStart w:id="11" w:name="_1017741275"/>
      <w:bookmarkStart w:id="12" w:name="_1017740957"/>
      <w:bookmarkStart w:id="13" w:name="_1017735340"/>
      <w:bookmarkStart w:id="14" w:name="_1017735264"/>
      <w:bookmarkStart w:id="15" w:name="_1017735230"/>
      <w:bookmarkStart w:id="16" w:name="_1017734395"/>
      <w:bookmarkStart w:id="17" w:name="_1017734032"/>
      <w:bookmarkEnd w:id="5"/>
      <w:bookmarkEnd w:id="6"/>
      <w:bookmarkEnd w:id="7"/>
      <w:bookmarkEnd w:id="8"/>
      <w:bookmarkEnd w:id="9"/>
      <w:bookmarkEnd w:id="10"/>
      <w:bookmarkEnd w:id="11"/>
      <w:bookmarkEnd w:id="12"/>
      <w:bookmarkEnd w:id="13"/>
      <w:bookmarkEnd w:id="14"/>
      <w:bookmarkEnd w:id="15"/>
      <w:bookmarkEnd w:id="16"/>
      <w:bookmarkEnd w:id="17"/>
      <w:r>
        <w:rPr/>
        <w:object w:dxaOrig="7321" w:dyaOrig="5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5.4pt;height:261pt" filled="f" o:ole="">
            <v:imagedata r:id="rId5" o:title=""/>
          </v:shape>
          <o:OLEObject Type="Embed" ProgID="Excel.Sheet.12" ShapeID="ole_rId4" DrawAspect="Content" ObjectID="_1943573019" r:id="rId4"/>
        </w:object>
      </w:r>
      <w:r>
        <w:rPr>
          <w:rFonts w:eastAsia="Arial"/>
        </w:rPr>
        <w:t xml:space="preserve"> </w:t>
      </w:r>
    </w:p>
    <w:p>
      <w:pPr>
        <w:pStyle w:val="Normal"/>
        <w:spacing w:lineRule="auto" w:line="360" w:before="0" w:after="120"/>
        <w:rPr/>
      </w:pPr>
      <w:r>
        <w:rPr/>
      </w:r>
    </w:p>
    <w:p>
      <w:pPr>
        <w:pStyle w:val="Heading1"/>
        <w:ind w:hanging="0" w:start="0"/>
        <w:rPr/>
      </w:pPr>
      <w:r>
        <w:rPr/>
        <w:t>Embedded Costs for Default Balancing Storage</w:t>
      </w:r>
    </w:p>
    <w:p>
      <w:pPr>
        <w:pStyle w:val="Normal"/>
        <w:spacing w:lineRule="auto" w:line="360" w:before="0" w:after="120"/>
        <w:rPr/>
      </w:pPr>
      <w:r>
        <w:rPr/>
        <w:t>Prior to any elections of Self Balancing service by the noncore market or election of default balancing service by CTAs, the storage capacities reserved for the default balancing service are:  5.3 BCF of inventory, 250 MMcfd of injection, and 250 MMcfd of withdrawal.</w:t>
      </w:r>
    </w:p>
    <w:p>
      <w:pPr>
        <w:pStyle w:val="Normal"/>
        <w:spacing w:lineRule="auto" w:line="360" w:before="0" w:after="120"/>
        <w:rPr/>
      </w:pPr>
      <w:bookmarkStart w:id="18" w:name="_1017745235"/>
      <w:bookmarkStart w:id="19" w:name="_1017745050"/>
      <w:bookmarkEnd w:id="18"/>
      <w:bookmarkEnd w:id="19"/>
      <w:r>
        <w:rPr/>
        <w:object w:dxaOrig="5830" w:dyaOrig="211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91.1pt;height:99.85pt" filled="f" o:ole="">
            <v:imagedata r:id="rId7" o:title=""/>
          </v:shape>
          <o:OLEObject Type="Embed" ProgID="Excel.Sheet.12" ShapeID="ole_rId6" DrawAspect="Content" ObjectID="_1589478397" r:id="rId6"/>
        </w:object>
      </w:r>
    </w:p>
    <w:p>
      <w:pPr>
        <w:pStyle w:val="Normal"/>
        <w:spacing w:lineRule="auto" w:line="360" w:before="0" w:after="120"/>
        <w:rPr/>
      </w:pPr>
      <w:r>
        <w:rPr/>
        <w:t>For the default balancing service, the variable costs associated with three cycles of the allocated inventory were added to the embedded costs of $12.4 million.  This total cost was then divided by the noncore throughput, as shown below, to arrive at a rate for the default balancing service:</w:t>
      </w:r>
    </w:p>
    <w:p>
      <w:pPr>
        <w:pStyle w:val="Normal"/>
        <w:spacing w:lineRule="auto" w:line="360" w:before="0" w:after="120"/>
        <w:rPr/>
      </w:pPr>
      <w:bookmarkStart w:id="20" w:name="_1017813639"/>
      <w:bookmarkStart w:id="21" w:name="_1017745012"/>
      <w:bookmarkEnd w:id="20"/>
      <w:bookmarkEnd w:id="21"/>
      <w:r>
        <w:rPr/>
        <w:object w:dxaOrig="5627" w:dyaOrig="184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79.95pt;height:87.5pt" filled="f" o:ole="">
            <v:imagedata r:id="rId9" o:title=""/>
          </v:shape>
          <o:OLEObject Type="Embed" ProgID="Excel.Sheet.12" ShapeID="ole_rId8" DrawAspect="Content" ObjectID="_513609966" r:id="rId8"/>
        </w:object>
      </w:r>
    </w:p>
    <w:p>
      <w:pPr>
        <w:pStyle w:val="Normal"/>
        <w:spacing w:lineRule="auto" w:line="360" w:before="0" w:after="120"/>
        <w:rPr/>
      </w:pPr>
      <w:r>
        <w:rPr/>
      </w:r>
    </w:p>
    <w:p>
      <w:pPr>
        <w:pStyle w:val="Heading1"/>
        <w:ind w:hanging="0" w:start="0"/>
        <w:rPr/>
      </w:pPr>
      <w:r>
        <w:rPr/>
        <w:t>Embedded Costs for Open Season Storage Packages</w:t>
      </w:r>
    </w:p>
    <w:p>
      <w:pPr>
        <w:pStyle w:val="Normal"/>
        <w:spacing w:lineRule="auto" w:line="360" w:before="0" w:after="120"/>
        <w:rPr/>
      </w:pPr>
      <w:r>
        <w:rPr/>
        <w:t>Storage offered in the Open Season is a linked package of inventory, injection, and withdrawal capacity in the ratio of 1 BCF of inventory/7.6 MMcfd of injection/29.6 MMcfd of withdrawal.  This is the same ratio as SoCalGas’ total storage capacity.</w:t>
      </w:r>
    </w:p>
    <w:p>
      <w:pPr>
        <w:pStyle w:val="Normal"/>
        <w:spacing w:lineRule="auto" w:line="360" w:before="0" w:after="120"/>
        <w:rPr/>
      </w:pPr>
      <w:r>
        <w:rPr/>
        <w:t>The embedded cost for this storage package is shown below:</w:t>
      </w:r>
    </w:p>
    <w:p>
      <w:pPr>
        <w:pStyle w:val="Normal"/>
        <w:spacing w:lineRule="auto" w:line="360" w:before="0" w:after="120"/>
        <w:rPr/>
      </w:pPr>
      <w:bookmarkStart w:id="22" w:name="_1017745297"/>
      <w:bookmarkEnd w:id="22"/>
      <w:r>
        <w:rPr/>
        <w:object w:dxaOrig="5830" w:dyaOrig="211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91.1pt;height:99.85pt" filled="f" o:ole="">
            <v:imagedata r:id="rId11" o:title=""/>
          </v:shape>
          <o:OLEObject Type="Embed" ProgID="Excel.Sheet.12" ShapeID="ole_rId10" DrawAspect="Content" ObjectID="_708937063" r:id="rId10"/>
        </w:object>
      </w:r>
    </w:p>
    <w:p>
      <w:pPr>
        <w:pStyle w:val="Normal"/>
        <w:spacing w:lineRule="auto" w:line="360" w:before="0" w:after="120"/>
        <w:rPr/>
      </w:pPr>
      <w:r>
        <w:rPr/>
        <w:t>The above table shows that the price for a package of Open Season storage costs $0.678 million for each BCF of inventory reserved.  Using a BTU conversion factor of 1016 BTU/CF, the rate for Open Season storage equals $0.667/dth per year of inventory capacity reserved for all inventory, injection and withdrawal capacity included in any package in the specified ratios.</w:t>
      </w:r>
    </w:p>
    <w:p>
      <w:pPr>
        <w:pStyle w:val="Normal"/>
        <w:spacing w:lineRule="auto" w:line="360" w:before="0" w:after="120"/>
        <w:rPr/>
      </w:pPr>
      <w:r>
        <w:rPr/>
      </w:r>
    </w:p>
    <w:p>
      <w:pPr>
        <w:pStyle w:val="Heading1"/>
        <w:ind w:hanging="0" w:start="0"/>
        <w:rPr/>
      </w:pPr>
      <w:r>
        <w:rPr/>
        <w:t>Credits: Self Balancing</w:t>
      </w:r>
    </w:p>
    <w:p>
      <w:pPr>
        <w:pStyle w:val="Normal"/>
        <w:spacing w:lineRule="auto" w:line="360" w:before="0" w:after="120"/>
        <w:rPr/>
      </w:pPr>
      <w:r>
        <w:rPr/>
        <w:t>Noncore customers, wholesale customers, and CTAs may opt for a Self Balancing service.  Customers who opt for the Self Balancing service will receive a credit for unused balancing resources.</w:t>
      </w:r>
    </w:p>
    <w:p>
      <w:pPr>
        <w:pStyle w:val="Normal"/>
        <w:spacing w:lineRule="auto" w:line="360" w:before="0" w:after="120"/>
        <w:rPr/>
      </w:pPr>
      <w:r>
        <w:rPr/>
        <w:t>A minimal amount of storage to supplement linepack is required for the Self Balancing service.  Embedded costs for these capacities (0.53 BCF, 50 MMcfd of injection, and 50 MMcfd of withdrawal) are calculated below:</w:t>
      </w:r>
    </w:p>
    <w:p>
      <w:pPr>
        <w:pStyle w:val="Normal"/>
        <w:spacing w:lineRule="auto" w:line="360" w:before="0" w:after="120"/>
        <w:rPr/>
      </w:pPr>
      <w:bookmarkStart w:id="23" w:name="_1017812719"/>
      <w:bookmarkEnd w:id="23"/>
      <w:r>
        <w:rPr/>
        <w:object w:dxaOrig="5830" w:dyaOrig="2112">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91.1pt;height:99.85pt" filled="f" o:ole="">
            <v:imagedata r:id="rId13" o:title=""/>
          </v:shape>
          <o:OLEObject Type="Embed" ProgID="Excel.Sheet.12" ShapeID="ole_rId12" DrawAspect="Content" ObjectID="_737888709" r:id="rId12"/>
        </w:object>
      </w:r>
    </w:p>
    <w:p>
      <w:pPr>
        <w:pStyle w:val="Normal"/>
        <w:spacing w:lineRule="auto" w:line="360" w:before="0" w:after="120"/>
        <w:rPr/>
      </w:pPr>
      <w:r>
        <w:rPr/>
        <w:t>To this embedded cost, variable costs associated with three cycles of the allocated inventory were added.  The total cost for the Self Balancing service was then subtracted from the Default Balancing cost, and divided by the noncore throughput to arrive at the Self Balancing credit:</w:t>
      </w:r>
    </w:p>
    <w:p>
      <w:pPr>
        <w:pStyle w:val="Normal"/>
        <w:spacing w:lineRule="auto" w:line="360" w:before="0" w:after="120"/>
        <w:rPr/>
      </w:pPr>
      <w:bookmarkStart w:id="24" w:name="_1017820668"/>
      <w:bookmarkStart w:id="25" w:name="_1017820650"/>
      <w:bookmarkStart w:id="26" w:name="_1017815938"/>
      <w:bookmarkStart w:id="27" w:name="_1017813619"/>
      <w:bookmarkStart w:id="28" w:name="_1017813033"/>
      <w:bookmarkEnd w:id="24"/>
      <w:bookmarkEnd w:id="25"/>
      <w:bookmarkEnd w:id="26"/>
      <w:bookmarkEnd w:id="27"/>
      <w:bookmarkEnd w:id="28"/>
      <w:r>
        <w:rPr/>
        <w:object w:dxaOrig="5110" w:dyaOrig="237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54.25pt;height:112.2pt" filled="f" o:ole="">
            <v:imagedata r:id="rId15" o:title=""/>
          </v:shape>
          <o:OLEObject Type="Embed" ProgID="Excel.Sheet.12" ShapeID="ole_rId14" DrawAspect="Content" ObjectID="_1487562138" r:id="rId14"/>
        </w:object>
      </w:r>
    </w:p>
    <w:p>
      <w:pPr>
        <w:pStyle w:val="Normal"/>
        <w:spacing w:lineRule="auto" w:line="360" w:before="0" w:after="120"/>
        <w:rPr/>
      </w:pPr>
      <w:r>
        <w:rPr/>
      </w:r>
    </w:p>
    <w:p>
      <w:pPr>
        <w:pStyle w:val="Heading1"/>
        <w:ind w:hanging="0" w:start="0"/>
        <w:rPr/>
      </w:pPr>
      <w:r>
        <w:rPr/>
        <w:t>Credits: CTA Storage</w:t>
      </w:r>
    </w:p>
    <w:p>
      <w:pPr>
        <w:pStyle w:val="Normal"/>
        <w:spacing w:lineRule="auto" w:line="360" w:before="0" w:after="120"/>
        <w:rPr/>
      </w:pPr>
      <w:r>
        <w:rPr/>
        <w:t>CTAs have several options available to them regarding storage and balancing.  A CTA may elect to retain all of the storage allocated to it; retain just the reliability/balancing storage allocation; or reject all storage allocations.  CTAs may also elect either the Default Balancing or Self Balancing services.</w:t>
      </w:r>
    </w:p>
    <w:p>
      <w:pPr>
        <w:pStyle w:val="Normal"/>
        <w:spacing w:lineRule="auto" w:line="360" w:before="0" w:after="120"/>
        <w:rPr/>
      </w:pPr>
      <w:r>
        <w:rPr/>
        <w:t>In order to understand the various credits available to CTAs, the costs for core storage and balancing options must to be understood.  These costs are shown below:</w:t>
      </w:r>
    </w:p>
    <w:p>
      <w:pPr>
        <w:pStyle w:val="Normal"/>
        <w:spacing w:lineRule="auto" w:line="360" w:before="0" w:after="120"/>
        <w:rPr/>
      </w:pPr>
      <w:bookmarkStart w:id="29" w:name="_1017820380"/>
      <w:bookmarkStart w:id="30" w:name="_1017819554"/>
      <w:bookmarkEnd w:id="29"/>
      <w:bookmarkEnd w:id="30"/>
      <w:r>
        <w:rPr/>
        <w:object w:dxaOrig="7114" w:dyaOrig="1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51.25pt;height:62.75pt" filled="f" o:ole="">
            <v:imagedata r:id="rId17" o:title=""/>
          </v:shape>
          <o:OLEObject Type="Embed" ProgID="Excel.Sheet.12" ShapeID="ole_rId16" DrawAspect="Content" ObjectID="_883445040" r:id="rId16"/>
        </w:object>
      </w:r>
    </w:p>
    <w:p>
      <w:pPr>
        <w:pStyle w:val="Normal"/>
        <w:spacing w:lineRule="auto" w:line="360" w:before="0" w:after="120"/>
        <w:rPr/>
      </w:pPr>
      <w:r>
        <w:rPr/>
        <w:t>A CTA with a load profile equivalent to the total core load (approximately 75% residential, 25% non-residential) would receive the following credits</w:t>
      </w:r>
      <w:r>
        <w:rPr>
          <w:rStyle w:val="FootnoteCharacters"/>
          <w:rStyle w:val="FootnoteReference"/>
        </w:rPr>
        <w:footnoteReference w:id="2"/>
      </w:r>
      <w:r>
        <w:rPr/>
        <w:t>:</w:t>
      </w:r>
    </w:p>
    <w:p>
      <w:pPr>
        <w:pStyle w:val="Normal"/>
        <w:spacing w:lineRule="auto" w:line="360" w:before="0" w:after="120"/>
        <w:rPr/>
      </w:pPr>
      <w:bookmarkStart w:id="31" w:name="_1018249687"/>
      <w:bookmarkEnd w:id="31"/>
      <w:r>
        <w:rPr/>
        <w:object w:dxaOrig="5547" w:dyaOrig="184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6.95pt;height:87.5pt" filled="f" o:ole="">
            <v:imagedata r:id="rId19" o:title=""/>
          </v:shape>
          <o:OLEObject Type="Embed" ProgID="Excel.Sheet.12" ShapeID="ole_rId18" DrawAspect="Content" ObjectID="_196873626" r:id="rId18"/>
        </w:object>
      </w:r>
    </w:p>
    <w:p>
      <w:pPr>
        <w:pStyle w:val="Normal"/>
        <w:spacing w:lineRule="auto" w:line="360" w:before="0" w:after="120"/>
        <w:rPr/>
      </w:pPr>
      <w:r>
        <w:rPr/>
      </w:r>
    </w:p>
    <w:sectPr>
      <w:footerReference w:type="default" r:id="rId20"/>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actual credit that a CTA receives will depend on its load profile.  A CTA whose winter load is proportionally higher than the core average will receive a credit greater than these averages.  A CTA whose winter load is proportionally lower than the core average will receive a credit less than these averages.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before="0" w:after="120"/>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before="0" w:after="120"/>
      <w:ind w:hanging="0" w:start="720" w:end="0"/>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xlsx"/><Relationship Id="rId13" Type="http://schemas.openxmlformats.org/officeDocument/2006/relationships/image" Target="media/image6.wmf"/><Relationship Id="rId14" Type="http://schemas.openxmlformats.org/officeDocument/2006/relationships/package" Target="embeddings/oleObject7.xlsx"/><Relationship Id="rId15" Type="http://schemas.openxmlformats.org/officeDocument/2006/relationships/image" Target="media/image7.wmf"/><Relationship Id="rId16" Type="http://schemas.openxmlformats.org/officeDocument/2006/relationships/package" Target="embeddings/oleObject8.xlsx"/><Relationship Id="rId17" Type="http://schemas.openxmlformats.org/officeDocument/2006/relationships/image" Target="media/image8.wmf"/><Relationship Id="rId18" Type="http://schemas.openxmlformats.org/officeDocument/2006/relationships/package" Target="embeddings/oleObject9.xlsx"/><Relationship Id="rId19" Type="http://schemas.openxmlformats.org/officeDocument/2006/relationships/image" Target="media/image9.wmf"/><Relationship Id="rId20" Type="http://schemas.openxmlformats.org/officeDocument/2006/relationships/footer" Target="footer1.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2000-05-03T20:14:00Z</dcterms:created>
  <dc:creator>Dave Bisi</dc:creator>
  <dc:description/>
  <dc:language>en-CA</dc:language>
  <cp:lastModifiedBy>SoCalGasCo.</cp:lastModifiedBy>
  <cp:lastPrinted>2000-04-26T07:57:00Z</cp:lastPrinted>
  <dcterms:modified xsi:type="dcterms:W3CDTF">2000-05-03T20:16:00Z</dcterms:modified>
  <cp:revision>3</cp:revision>
  <dc:subject/>
  <dc:title>SoCalGas’ total storage capacity, exclusive of the Montebello storage field, consists of 105</dc:title>
</cp:coreProperties>
</file>