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object w:dxaOrig="11235" w:dyaOrig="1497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0pt;margin-top:-1.4pt;width:561.75pt;height:734.4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141838145" r:id="rId2"/>
        </w:object>
      </w:r>
    </w:p>
    <w:sectPr>
      <w:headerReference w:type="default" r:id="rId4"/>
      <w:type w:val="nextPage"/>
      <w:pgSz w:w="12240" w:h="15840"/>
      <w:pgMar w:left="720" w:right="1800" w:gutter="0" w:header="720" w:top="776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ATTACHMENT 4</w:t>
    </w:r>
  </w:p>
  <w:p>
    <w:pPr>
      <w:pStyle w:val="Header"/>
      <w:jc w:val="center"/>
      <w:rPr/>
    </w:pPr>
    <w:r>
      <w:rPr/>
      <w:t>SoCaGas’ Backbone and Local Transmission System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2000-05-03T21:26:00Z</dcterms:created>
  <dc:creator>ETS Customer Services</dc:creator>
  <dc:description/>
  <dc:language>en-CA</dc:language>
  <cp:lastModifiedBy>SoCalGasCo.</cp:lastModifiedBy>
  <cp:lastPrinted>2000-04-14T13:18:00Z</cp:lastPrinted>
  <dcterms:modified xsi:type="dcterms:W3CDTF">2000-05-03T21:26:00Z</dcterms:modified>
  <cp:revision>2</cp:revision>
  <dc:subject/>
  <dc:title/>
</cp:coreProperties>
</file>