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6"/>
        </w:rPr>
      </w:pPr>
      <w:r>
        <w:rPr>
          <w:b/>
          <w:sz w:val="26"/>
        </w:rPr>
        <w:t>Analysis of Market Power Study</w:t>
      </w:r>
    </w:p>
    <w:p>
      <w:pPr>
        <w:pStyle w:val="Normal"/>
        <w:widowControl/>
        <w:jc w:val="center"/>
        <w:rPr>
          <w:b/>
          <w:sz w:val="26"/>
        </w:rPr>
      </w:pPr>
      <w:r>
        <w:rPr>
          <w:b/>
          <w:sz w:val="26"/>
        </w:rPr>
        <w:t>Prepared by Paul Joskow and Edward P. Kahn</w:t>
      </w:r>
    </w:p>
    <w:p>
      <w:pPr>
        <w:pStyle w:val="Normal"/>
        <w:widowControl/>
        <w:jc w:val="both"/>
        <w:rPr/>
      </w:pPr>
      <w:r>
        <w:rPr/>
      </w:r>
    </w:p>
    <w:p>
      <w:pPr>
        <w:pStyle w:val="Normal"/>
        <w:widowControl/>
        <w:jc w:val="both"/>
        <w:rPr/>
      </w:pPr>
      <w:r>
        <w:rPr/>
        <w:t>Southern California Edison Company ("SCE") appended to its comments a market power study prepared by Paul Joskow and Edward P. Kahn, "</w:t>
      </w:r>
      <w:r>
        <w:rPr>
          <w:i/>
        </w:rPr>
        <w:t>A Quantitative Analysis of Pricing Behavior In California</w:t>
      </w:r>
      <w:r>
        <w:rPr>
          <w:rFonts w:cs="WP TypographicSymbols" w:ascii="WP TypographicSymbols" w:hAnsi="WP TypographicSymbols"/>
          <w:i/>
        </w:rPr>
        <w:t>=</w:t>
      </w:r>
      <w:r>
        <w:rPr>
          <w:i/>
        </w:rPr>
        <w:t>s Wholesale Electricity Market During Summer 2000</w:t>
      </w:r>
      <w:r>
        <w:rPr/>
        <w:t>," Exhibit A (hereinafter referred to as "Joskow and Kahn Study").  Joskow and Kahn conclude, among other things, that sellers of electricity exercised market power in California last summer on the ground that prices of competitive wholesale market benchmark prices.  Joskow and Kahn's conclusions should be discarded because their analysis is riddled with conceptual and methodological flaws.</w:t>
      </w:r>
    </w:p>
    <w:p>
      <w:pPr>
        <w:pStyle w:val="Normal"/>
        <w:widowControl/>
        <w:jc w:val="both"/>
        <w:rPr/>
      </w:pPr>
      <w:r>
        <w:rPr/>
      </w:r>
    </w:p>
    <w:p>
      <w:pPr>
        <w:pStyle w:val="Normal"/>
        <w:widowControl/>
        <w:jc w:val="both"/>
        <w:rPr/>
      </w:pPr>
      <w:r>
        <w:rPr/>
        <w:t>Although the Study claims to verify previous studies using publicly-available data (</w:t>
      </w:r>
      <w:r>
        <w:rPr>
          <w:i/>
        </w:rPr>
        <w:t>e.g.,</w:t>
      </w:r>
      <w:r>
        <w:rPr/>
        <w:t xml:space="preserve"> Borenstein Bushnell, and Wolak), it fails to address the criticisms that have been made of those studies.  Specifically, the Joskow and Kahn Study, at 6, purports to estimate a "competitive benchmark price" using a simplified dispatch model of California fossil generation to meet load after accounting for imports, in-state hydro generation, must-take generation and geothermal generation.  The incremental variable cost of the last generator dispatched to meet load becomes the "marginal cost."  This analysis is flawed in a number of respects:</w:t>
      </w:r>
    </w:p>
    <w:p>
      <w:pPr>
        <w:pStyle w:val="Normal"/>
        <w:widowControl/>
        <w:jc w:val="both"/>
        <w:rPr/>
      </w:pPr>
      <w:r>
        <w:rPr/>
      </w:r>
    </w:p>
    <w:p>
      <w:pPr>
        <w:pStyle w:val="Level1"/>
        <w:widowControl/>
        <w:numPr>
          <w:ilvl w:val="0"/>
          <w:numId w:val="1"/>
        </w:numPr>
        <w:tabs>
          <w:tab w:val="clear" w:pos="720"/>
          <w:tab w:val="left" w:pos="-1440" w:leader="none"/>
        </w:tabs>
        <w:jc w:val="both"/>
        <w:rPr/>
      </w:pPr>
      <w:r>
        <w:rPr/>
        <w:t xml:space="preserve">Load in each month is modeled at only 10 representative "slices."  Market clearing prices are based on the marginal variable cost estimated to meet each load slice, scaled for ancillary services.  This load slice method treats each load level as a separate event and presumes that the same resource stack is available to supply each load slice.  This approach ignores the impact that energy-limited resources (hydro, pumped storage), who choose which time periods to sell into, have on marginal variable costs.  </w:t>
      </w:r>
      <w:r>
        <w:rPr>
          <w:i/>
        </w:rPr>
        <w:t xml:space="preserve">See Comnes Affidavit </w:t>
      </w:r>
      <w:r>
        <w:rPr/>
        <w:t>at 25.  This choice of time periods, fundamentally an opportunity cost analysis on the part of the supplier, is totally ignored in the Joskow and Kahn Study.</w:t>
      </w:r>
    </w:p>
    <w:p>
      <w:pPr>
        <w:pStyle w:val="Normal"/>
        <w:widowControl/>
        <w:jc w:val="both"/>
        <w:rPr/>
      </w:pPr>
      <w:r>
        <w:rPr/>
      </w:r>
    </w:p>
    <w:p>
      <w:pPr>
        <w:pStyle w:val="Level1"/>
        <w:widowControl/>
        <w:numPr>
          <w:ilvl w:val="0"/>
          <w:numId w:val="1"/>
        </w:numPr>
        <w:tabs>
          <w:tab w:val="clear" w:pos="720"/>
          <w:tab w:val="left" w:pos="-1440" w:leader="none"/>
        </w:tabs>
        <w:jc w:val="both"/>
        <w:rPr/>
      </w:pPr>
      <w:r>
        <w:rPr/>
        <w:t xml:space="preserve">Supply-side dispatch is overly simplified.  In particular, there is no representation of the effect of forced outages other than a simple deration of capacity.  Planned or maintenance outages are allocated to "low load" months.  Such outages are now a matter of record; thus, the reliance by Joskow and Kahn on these assumptions rather than actual data may lead to highly inaccurate conclusions. </w:t>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Level1"/>
        <w:widowControl/>
        <w:numPr>
          <w:ilvl w:val="0"/>
          <w:numId w:val="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Joskow and Kahn Study either ignores or does not explain how it treats numerous semi-fixed costs that affect marginal generator variable costs, including (i) costs imposed by ramp-rate constraints, (ii) start-up costs including start-up fuel, (iii) minimum-run time costs, and (iv) costs of running over schedules containing noncontiguous awarded hours.</w:t>
      </w:r>
    </w:p>
    <w:p>
      <w:pPr>
        <w:pStyle w:val="Level1"/>
        <w:widowControl/>
        <w:numPr>
          <w:ilvl w:val="0"/>
          <w:numId w:val="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Joskow and Kahn make a number of highly simplified or undocumented assumptions regarding hydroelectric resources.  In particular, the assumption regarding the total amount of hydro capacity available to the California ISO (8,000 MW) and its allocation to load slices is unsupported.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Level1"/>
        <w:widowControl/>
        <w:numPr>
          <w:ilvl w:val="0"/>
          <w:numId w:val="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Joskow and Kahn Study also makes a number of highly simplified or undocumented assumptions regarding imports into California.  For instance, Joskow and Kahn use tie-line flow data as the basis of imports but are unclear as to which utility resources are ultimate treated as "in state" or as part of imports.</w:t>
      </w:r>
      <w:r>
        <w:rPr>
          <w:rStyle w:val="FootnoteCharacters"/>
          <w:rStyle w:val="FootnoteReference"/>
          <w:vertAlign w:val="superscript"/>
        </w:rPr>
        <w:footnoteReference w:id="2"/>
      </w:r>
      <w:r>
        <w:rPr>
          <w:vertAlign w:val="superscript"/>
        </w:rPr>
        <w:t xml:space="preserve"> </w:t>
      </w:r>
      <w:r>
        <w:rPr/>
        <w:t xml:space="preserve"> Further, the relationship between market price and imports relies on an assumed elasticity and does not reflect the fact that imports into California from the Pacific Northwest are supplied to a large degree from energy-limited hydro resources that have the flexibility to choose which time period to sell 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Level1"/>
        <w:widowControl/>
        <w:numPr>
          <w:ilvl w:val="0"/>
          <w:numId w:val="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either a fully-regulated or competitive market, suppliers must receive a return on fixed costs in times of scarcity in order for incentives to exist for them to construct new facilities.  The cost estimates used in the Joskow and Kahn Study, however, fails to take scarcity rents into account.</w:t>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2"/>
      <w:footnotePr>
        <w:numFmt w:val="decimal"/>
      </w:footnotePr>
      <w:type w:val="nextPage"/>
      <w:pgSz w:w="12240" w:h="15840"/>
      <w:pgMar w:left="1440" w:right="1440" w:gutter="0" w:header="1440" w:top="1496"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 xml:space="preserve"> </w:t>
      </w:r>
      <w:r>
        <w:rPr>
          <w:sz w:val="22"/>
        </w:rPr>
        <w:t>Joskow and Kahn address Mohave but do not state clearly how SCE's share of Four Corners or Hoover Dam are treated.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t>Attachment 1</w:t>
    </w:r>
  </w:p>
  <w:p>
    <w:pPr>
      <w:pStyle w:val="Normal"/>
      <w:jc w:val="both"/>
      <w:rPr/>
    </w:pPr>
    <w:r>
      <w:rPr/>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2000-12-01T20:19:00Z</dcterms:created>
  <dc:creator>Bracewell &amp; Patterson</dc:creator>
  <dc:description/>
  <dc:language>en-CA</dc:language>
  <cp:lastModifiedBy>Bracewell &amp; Patterson</cp:lastModifiedBy>
  <dcterms:modified xsi:type="dcterms:W3CDTF">2000-12-01T20:19:00Z</dcterms:modified>
  <cp:revision>2</cp:revision>
  <dc:subject/>
  <dc:title>Analysis of Market Power Study</dc:title>
</cp:coreProperties>
</file>