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Normal"/>
        <w:rPr/>
      </w:pPr>
      <w:r>
        <w:rPr/>
      </w:r>
    </w:p>
    <w:p>
      <w:pPr>
        <w:pStyle w:val="Normal"/>
        <w:jc w:val="center"/>
        <w:rPr/>
      </w:pPr>
      <w:r>
        <w:rPr/>
      </w:r>
    </w:p>
    <w:p>
      <w:pPr>
        <w:pStyle w:val="Heading"/>
        <w:rPr>
          <w:sz w:val="48"/>
        </w:rPr>
      </w:pPr>
      <w:r>
        <w:rPr>
          <w:sz w:val="48"/>
        </w:rPr>
      </w:r>
    </w:p>
    <w:p>
      <w:pPr>
        <w:pStyle w:val="Heading"/>
        <w:rPr>
          <w:sz w:val="48"/>
        </w:rPr>
      </w:pPr>
      <w:r>
        <w:rPr>
          <w:sz w:val="48"/>
        </w:rPr>
      </w:r>
    </w:p>
    <w:p>
      <w:pPr>
        <w:pStyle w:val="Heading"/>
        <w:rPr>
          <w:sz w:val="48"/>
        </w:rPr>
      </w:pPr>
      <w:r>
        <w:rPr>
          <w:sz w:val="48"/>
        </w:rPr>
      </w:r>
    </w:p>
    <w:p>
      <w:pPr>
        <w:pStyle w:val="Heading"/>
        <w:rPr>
          <w:sz w:val="48"/>
        </w:rPr>
      </w:pPr>
      <w:r>
        <w:rPr>
          <w:sz w:val="48"/>
        </w:rPr>
      </w:r>
    </w:p>
    <w:p>
      <w:pPr>
        <w:pStyle w:val="Heading"/>
        <w:rPr>
          <w:sz w:val="48"/>
        </w:rPr>
      </w:pPr>
      <w:r>
        <w:rPr>
          <w:sz w:val="62"/>
        </w:rPr>
        <w:t>ASSISTANTS’ TIPS</w:t>
      </w:r>
    </w:p>
    <w:p>
      <w:pPr>
        <w:pStyle w:val="Heading"/>
        <w:rPr>
          <w:b w:val="false"/>
          <w:sz w:val="48"/>
        </w:rPr>
      </w:pPr>
      <w:r>
        <w:rPr>
          <w:b w:val="false"/>
          <w:sz w:val="38"/>
        </w:rPr>
        <w:t>for enrolling executives in the</w:t>
      </w:r>
    </w:p>
    <w:p>
      <w:pPr>
        <w:pStyle w:val="Heading"/>
        <w:rPr>
          <w:b w:val="false"/>
          <w:sz w:val="48"/>
        </w:rPr>
      </w:pPr>
      <w:r>
        <w:rPr>
          <w:b w:val="false"/>
          <w:sz w:val="48"/>
        </w:rPr>
      </w:r>
    </w:p>
    <w:p>
      <w:pPr>
        <w:pStyle w:val="Heading"/>
        <w:rPr>
          <w:sz w:val="62"/>
        </w:rPr>
      </w:pPr>
      <w:r>
        <w:rPr>
          <w:sz w:val="62"/>
        </w:rPr>
        <w:t>“</w:t>
      </w:r>
      <w:r>
        <w:rPr>
          <w:sz w:val="62"/>
        </w:rPr>
        <w:t xml:space="preserve">EXECUTIVE IMPACT AND </w:t>
      </w:r>
    </w:p>
    <w:p>
      <w:pPr>
        <w:pStyle w:val="Heading"/>
        <w:rPr>
          <w:sz w:val="64"/>
        </w:rPr>
      </w:pPr>
      <w:r>
        <w:rPr>
          <w:sz w:val="62"/>
        </w:rPr>
        <w:t>INFLUENCE PROGRAM”</w:t>
      </w:r>
    </w:p>
    <w:p>
      <w:pPr>
        <w:pStyle w:val="Heading"/>
        <w:rPr>
          <w:sz w:val="64"/>
        </w:rPr>
      </w:pPr>
      <w:r>
        <w:rPr>
          <w:sz w:val="64"/>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r>
        <w:br w:type="page"/>
      </w:r>
    </w:p>
    <w:p>
      <w:pPr>
        <w:pStyle w:val="Heading"/>
        <w:rPr>
          <w:sz w:val="22"/>
        </w:rPr>
      </w:pPr>
      <w:r>
        <w:rPr>
          <w:sz w:val="28"/>
        </w:rPr>
        <w:t>ASSISTANTS’ TIPS FOR ENROLLING EXECUTIVES IN THE “EXECUTIVE IMPACT AND INFLUENCE PROGRAM”</w:t>
      </w:r>
    </w:p>
    <w:p>
      <w:pPr>
        <w:pStyle w:val="Normal"/>
        <w:rPr>
          <w:sz w:val="22"/>
        </w:rPr>
      </w:pPr>
      <w:r>
        <w:rPr>
          <w:sz w:val="22"/>
        </w:rPr>
      </w:r>
    </w:p>
    <w:p>
      <w:pPr>
        <w:pStyle w:val="Normal"/>
        <w:rPr>
          <w:sz w:val="22"/>
        </w:rPr>
      </w:pPr>
      <w:r>
        <w:rPr>
          <w:sz w:val="22"/>
        </w:rPr>
        <w:t>The purpose of this handout is to inform you of what to expect when assisting a participant for Executive Impact and Influence.  Below are some tips.</w:t>
      </w:r>
    </w:p>
    <w:p>
      <w:pPr>
        <w:pStyle w:val="Normal"/>
        <w:rPr>
          <w:sz w:val="22"/>
        </w:rPr>
      </w:pPr>
      <w:r>
        <w:rPr>
          <w:sz w:val="22"/>
        </w:rPr>
      </w:r>
    </w:p>
    <w:p>
      <w:pPr>
        <w:pStyle w:val="Normal"/>
        <w:numPr>
          <w:ilvl w:val="0"/>
          <w:numId w:val="2"/>
        </w:numPr>
        <w:rPr>
          <w:sz w:val="22"/>
        </w:rPr>
      </w:pPr>
      <w:r>
        <w:rPr>
          <w:sz w:val="22"/>
        </w:rPr>
        <w:t xml:space="preserve">Approximately six weeks prior to the program, the participant will receive an an e-mail and an express package (from Keilty Goldsmith/FSD Data Services) containing a </w:t>
      </w:r>
      <w:r>
        <w:rPr>
          <w:b/>
          <w:sz w:val="22"/>
        </w:rPr>
        <w:t>Team Selection Form</w:t>
      </w:r>
      <w:r>
        <w:rPr>
          <w:sz w:val="22"/>
        </w:rPr>
        <w:t xml:space="preserve">.  The form is sent in two methods for the convenience of the participant.  </w:t>
        <w:br/>
      </w:r>
    </w:p>
    <w:p>
      <w:pPr>
        <w:pStyle w:val="Normal"/>
        <w:numPr>
          <w:ilvl w:val="0"/>
          <w:numId w:val="2"/>
        </w:numPr>
        <w:rPr>
          <w:sz w:val="22"/>
        </w:rPr>
      </w:pPr>
      <w:r>
        <w:rPr>
          <w:sz w:val="22"/>
        </w:rPr>
        <w:t xml:space="preserve">On this form, the participant (or you) should list the </w:t>
      </w:r>
      <w:r>
        <w:rPr>
          <w:b/>
          <w:sz w:val="22"/>
        </w:rPr>
        <w:t>name, mailing address, e-mail, phone and fax</w:t>
      </w:r>
      <w:r>
        <w:rPr>
          <w:sz w:val="22"/>
        </w:rPr>
        <w:t xml:space="preserve"> for each person the participant wants to obtain feedback from (for use in this program).</w:t>
        <w:br/>
      </w:r>
    </w:p>
    <w:p>
      <w:pPr>
        <w:pStyle w:val="Normal"/>
        <w:numPr>
          <w:ilvl w:val="0"/>
          <w:numId w:val="2"/>
        </w:numPr>
        <w:rPr>
          <w:sz w:val="22"/>
        </w:rPr>
      </w:pPr>
      <w:r>
        <w:rPr>
          <w:sz w:val="22"/>
        </w:rPr>
        <w:t xml:space="preserve">The participant should list all direct reports, their immediate manager, and up to eight peers or associates.  </w:t>
      </w:r>
      <w:r>
        <w:rPr>
          <w:b/>
          <w:sz w:val="22"/>
        </w:rPr>
        <w:t>You are encouraged to keep a copy of this form for your records</w:t>
      </w:r>
      <w:r>
        <w:rPr>
          <w:sz w:val="22"/>
        </w:rPr>
        <w:t>.  The following initials should be used for identifying the relationships.</w:t>
        <w:br/>
        <w:br/>
        <w:t>(D) – director report</w:t>
        <w:br/>
        <w:t>(M) – manager</w:t>
        <w:br/>
        <w:t>(P) – peer/other</w:t>
        <w:br/>
      </w:r>
    </w:p>
    <w:p>
      <w:pPr>
        <w:pStyle w:val="Normal"/>
        <w:numPr>
          <w:ilvl w:val="0"/>
          <w:numId w:val="2"/>
        </w:numPr>
        <w:rPr>
          <w:sz w:val="22"/>
        </w:rPr>
      </w:pPr>
      <w:r>
        <w:rPr>
          <w:sz w:val="22"/>
        </w:rPr>
        <w:t xml:space="preserve">This information must be as complete as possible (for follow up purposes).  </w:t>
      </w:r>
      <w:r>
        <w:rPr>
          <w:b/>
          <w:sz w:val="22"/>
        </w:rPr>
        <w:t xml:space="preserve">Please e-mail or fax your completed form to Keilty, Goldsmith &amp; Company/FSD Data Services (at </w:t>
      </w:r>
      <w:hyperlink r:id="rId3">
        <w:r>
          <w:rPr>
            <w:rStyle w:val="Hyperlink"/>
            <w:b/>
            <w:sz w:val="22"/>
          </w:rPr>
          <w:t>patrickm@fsddatasvc.com</w:t>
        </w:r>
      </w:hyperlink>
      <w:r>
        <w:rPr>
          <w:b/>
          <w:sz w:val="22"/>
        </w:rPr>
        <w:t>) or fax to 1.877.329.3761 by the DEADLINE stated</w:t>
      </w:r>
      <w:r>
        <w:rPr>
          <w:sz w:val="22"/>
        </w:rPr>
        <w:t>.  Only representatives of these two consulting firms will see the completed forms.  No one form Enron, other than the program participant, sees these forms or receives any of the individual feedback.</w:t>
        <w:br/>
      </w:r>
    </w:p>
    <w:p>
      <w:pPr>
        <w:pStyle w:val="Normal"/>
        <w:numPr>
          <w:ilvl w:val="0"/>
          <w:numId w:val="2"/>
        </w:numPr>
        <w:rPr>
          <w:sz w:val="22"/>
        </w:rPr>
      </w:pPr>
      <w:r>
        <w:rPr>
          <w:sz w:val="22"/>
        </w:rPr>
        <w:t xml:space="preserve">If you have any questions regarding the process, contact </w:t>
      </w:r>
      <w:r>
        <w:rPr>
          <w:b/>
          <w:sz w:val="22"/>
        </w:rPr>
        <w:t>Debbie Nowak (Enron 713.853.3304) or Christi Smith (Keilty Goldsmith 858.450.2554).</w:t>
        <w:br/>
      </w:r>
    </w:p>
    <w:p>
      <w:pPr>
        <w:pStyle w:val="Normal"/>
        <w:numPr>
          <w:ilvl w:val="0"/>
          <w:numId w:val="2"/>
        </w:numPr>
        <w:rPr>
          <w:sz w:val="22"/>
        </w:rPr>
      </w:pPr>
      <w:r>
        <w:rPr>
          <w:sz w:val="22"/>
        </w:rPr>
        <w:t>Getting this information back in a timely manner will allow sufficient time for Keilty to get feedback packets to each of the feedback givers.  If the Team Selection Form is not completed by the deadline stated, it will be the responsibility of the participant to mail out each of these packets.</w:t>
        <w:br/>
      </w:r>
    </w:p>
    <w:p>
      <w:pPr>
        <w:pStyle w:val="Normal"/>
        <w:numPr>
          <w:ilvl w:val="0"/>
          <w:numId w:val="2"/>
        </w:numPr>
        <w:rPr/>
      </w:pPr>
      <w:r>
        <w:rPr>
          <w:sz w:val="22"/>
        </w:rPr>
        <w:t>If enough responses are not received, the value of the program will be in jeopardy.  The participant may be counseled to not attend and may loose the already paid program fee.</w:t>
      </w:r>
      <w:r>
        <w:rPr/>
        <w:br/>
      </w:r>
      <w:r>
        <w:br w:type="page"/>
      </w:r>
    </w:p>
    <w:p>
      <w:pPr>
        <w:pStyle w:val="Heading1"/>
        <w:ind w:hanging="0" w:start="0"/>
        <w:rPr/>
      </w:pPr>
      <w:r>
        <w:rPr/>
        <w:t>PROGRAM DETAILS</w:t>
      </w:r>
    </w:p>
    <w:p>
      <w:pPr>
        <w:pStyle w:val="Normal"/>
        <w:rPr/>
      </w:pPr>
      <w:r>
        <w:rPr/>
      </w:r>
    </w:p>
    <w:p>
      <w:pPr>
        <w:pStyle w:val="Normal"/>
        <w:rPr/>
      </w:pPr>
      <w:r>
        <w:rPr/>
      </w:r>
    </w:p>
    <w:tbl>
      <w:tblPr>
        <w:tblW w:w="8658" w:type="dxa"/>
        <w:jc w:val="start"/>
        <w:tblInd w:w="0" w:type="dxa"/>
        <w:tblLayout w:type="fixed"/>
        <w:tblCellMar>
          <w:top w:w="0" w:type="dxa"/>
          <w:start w:w="108" w:type="dxa"/>
          <w:bottom w:w="0" w:type="dxa"/>
          <w:end w:w="108" w:type="dxa"/>
        </w:tblCellMar>
      </w:tblPr>
      <w:tblGrid>
        <w:gridCol w:w="3528"/>
        <w:gridCol w:w="5130"/>
      </w:tblGrid>
      <w:tr>
        <w:trPr/>
        <w:tc>
          <w:tcPr>
            <w:tcW w:w="3528" w:type="dxa"/>
            <w:tcBorders/>
          </w:tcPr>
          <w:p>
            <w:pPr>
              <w:pStyle w:val="Normal"/>
              <w:rPr/>
            </w:pPr>
            <w:r>
              <w:rPr/>
              <w:t>Location:</w:t>
            </w:r>
          </w:p>
          <w:p>
            <w:pPr>
              <w:pStyle w:val="Normal"/>
              <w:rPr/>
            </w:pPr>
            <w:r>
              <w:rPr/>
            </w:r>
          </w:p>
          <w:p>
            <w:pPr>
              <w:pStyle w:val="Normal"/>
              <w:rPr/>
            </w:pPr>
            <w:r>
              <w:rPr/>
            </w:r>
          </w:p>
        </w:tc>
        <w:tc>
          <w:tcPr>
            <w:tcW w:w="5130" w:type="dxa"/>
            <w:tcBorders/>
          </w:tcPr>
          <w:p>
            <w:pPr>
              <w:pStyle w:val="Normal"/>
              <w:rPr/>
            </w:pPr>
            <w:r>
              <w:rPr/>
              <w:t>The Houstonian</w:t>
            </w:r>
          </w:p>
          <w:p>
            <w:pPr>
              <w:pStyle w:val="Normal"/>
              <w:rPr/>
            </w:pPr>
            <w:r>
              <w:rPr/>
              <w:t>111 North Post Oak Lane</w:t>
            </w:r>
          </w:p>
          <w:p>
            <w:pPr>
              <w:pStyle w:val="Normal"/>
              <w:rPr/>
            </w:pPr>
            <w:r>
              <w:rPr/>
              <w:t>Houston, TX  77024</w:t>
            </w:r>
          </w:p>
        </w:tc>
      </w:tr>
      <w:tr>
        <w:trPr/>
        <w:tc>
          <w:tcPr>
            <w:tcW w:w="3528" w:type="dxa"/>
            <w:tcBorders/>
          </w:tcPr>
          <w:p>
            <w:pPr>
              <w:pStyle w:val="Normal"/>
              <w:snapToGrid w:val="false"/>
              <w:rPr/>
            </w:pPr>
            <w:r>
              <w:rPr/>
            </w:r>
          </w:p>
        </w:tc>
        <w:tc>
          <w:tcPr>
            <w:tcW w:w="5130" w:type="dxa"/>
            <w:tcBorders/>
          </w:tcPr>
          <w:p>
            <w:pPr>
              <w:pStyle w:val="Normal"/>
              <w:snapToGrid w:val="false"/>
              <w:rPr/>
            </w:pPr>
            <w:r>
              <w:rPr/>
            </w:r>
          </w:p>
        </w:tc>
      </w:tr>
      <w:tr>
        <w:trPr/>
        <w:tc>
          <w:tcPr>
            <w:tcW w:w="3528" w:type="dxa"/>
            <w:tcBorders/>
          </w:tcPr>
          <w:p>
            <w:pPr>
              <w:pStyle w:val="Normal"/>
              <w:rPr/>
            </w:pPr>
            <w:r>
              <w:rPr/>
              <w:t>Phone:</w:t>
            </w:r>
          </w:p>
        </w:tc>
        <w:tc>
          <w:tcPr>
            <w:tcW w:w="5130" w:type="dxa"/>
            <w:tcBorders/>
          </w:tcPr>
          <w:p>
            <w:pPr>
              <w:pStyle w:val="Normal"/>
              <w:rPr/>
            </w:pPr>
            <w:r>
              <w:rPr/>
              <w:t>713.680.2626</w:t>
            </w:r>
          </w:p>
        </w:tc>
      </w:tr>
      <w:tr>
        <w:trPr/>
        <w:tc>
          <w:tcPr>
            <w:tcW w:w="3528" w:type="dxa"/>
            <w:tcBorders/>
          </w:tcPr>
          <w:p>
            <w:pPr>
              <w:pStyle w:val="Normal"/>
              <w:snapToGrid w:val="false"/>
              <w:rPr/>
            </w:pPr>
            <w:r>
              <w:rPr/>
            </w:r>
          </w:p>
        </w:tc>
        <w:tc>
          <w:tcPr>
            <w:tcW w:w="5130" w:type="dxa"/>
            <w:tcBorders/>
          </w:tcPr>
          <w:p>
            <w:pPr>
              <w:pStyle w:val="Normal"/>
              <w:snapToGrid w:val="false"/>
              <w:rPr/>
            </w:pPr>
            <w:r>
              <w:rPr/>
            </w:r>
          </w:p>
        </w:tc>
      </w:tr>
      <w:tr>
        <w:trPr/>
        <w:tc>
          <w:tcPr>
            <w:tcW w:w="3528" w:type="dxa"/>
            <w:tcBorders/>
          </w:tcPr>
          <w:p>
            <w:pPr>
              <w:pStyle w:val="Normal"/>
              <w:rPr/>
            </w:pPr>
            <w:r>
              <w:rPr/>
              <w:t>Hotel Arrangements:</w:t>
            </w:r>
          </w:p>
        </w:tc>
        <w:tc>
          <w:tcPr>
            <w:tcW w:w="5130" w:type="dxa"/>
            <w:tcBorders/>
          </w:tcPr>
          <w:p>
            <w:pPr>
              <w:pStyle w:val="Normal"/>
              <w:rPr/>
            </w:pPr>
            <w:r>
              <w:rPr/>
              <w:t xml:space="preserve">Alex Pangelinan @ 713.316.2771 – </w:t>
            </w:r>
            <w:r>
              <w:rPr>
                <w:b/>
              </w:rPr>
              <w:t>the participant is responsible for sleeping room arrangements</w:t>
            </w:r>
          </w:p>
        </w:tc>
      </w:tr>
      <w:tr>
        <w:trPr/>
        <w:tc>
          <w:tcPr>
            <w:tcW w:w="3528" w:type="dxa"/>
            <w:tcBorders/>
          </w:tcPr>
          <w:p>
            <w:pPr>
              <w:pStyle w:val="Normal"/>
              <w:snapToGrid w:val="false"/>
              <w:rPr/>
            </w:pPr>
            <w:r>
              <w:rPr/>
            </w:r>
          </w:p>
        </w:tc>
        <w:tc>
          <w:tcPr>
            <w:tcW w:w="5130" w:type="dxa"/>
            <w:tcBorders/>
          </w:tcPr>
          <w:p>
            <w:pPr>
              <w:pStyle w:val="Normal"/>
              <w:snapToGrid w:val="false"/>
              <w:rPr/>
            </w:pPr>
            <w:r>
              <w:rPr/>
            </w:r>
          </w:p>
        </w:tc>
      </w:tr>
      <w:tr>
        <w:trPr/>
        <w:tc>
          <w:tcPr>
            <w:tcW w:w="3528" w:type="dxa"/>
            <w:tcBorders/>
          </w:tcPr>
          <w:p>
            <w:pPr>
              <w:pStyle w:val="Normal"/>
              <w:rPr/>
            </w:pPr>
            <w:r>
              <w:rPr/>
              <w:t>Meeting Time:</w:t>
            </w:r>
          </w:p>
        </w:tc>
        <w:tc>
          <w:tcPr>
            <w:tcW w:w="5130" w:type="dxa"/>
            <w:tcBorders/>
          </w:tcPr>
          <w:p>
            <w:pPr>
              <w:pStyle w:val="Normal"/>
              <w:rPr/>
            </w:pPr>
            <w:r>
              <w:rPr/>
              <w:t>7:30 a.m. – Continental Breakfast</w:t>
            </w:r>
          </w:p>
          <w:p>
            <w:pPr>
              <w:pStyle w:val="Normal"/>
              <w:rPr/>
            </w:pPr>
            <w:r>
              <w:rPr/>
              <w:t>8:00 a.m. – Meeting Begins</w:t>
            </w:r>
          </w:p>
          <w:p>
            <w:pPr>
              <w:pStyle w:val="Normal"/>
              <w:rPr/>
            </w:pPr>
            <w:r>
              <w:rPr/>
              <w:t xml:space="preserve">11:45 a.m. – Buffet Lunch </w:t>
            </w:r>
            <w:r>
              <w:rPr>
                <w:sz w:val="20"/>
              </w:rPr>
              <w:t>(approximately)</w:t>
            </w:r>
          </w:p>
          <w:p>
            <w:pPr>
              <w:pStyle w:val="Normal"/>
              <w:rPr/>
            </w:pPr>
            <w:r>
              <w:rPr/>
              <w:t>6:30 p.m. – Meeting Close</w:t>
            </w:r>
          </w:p>
        </w:tc>
      </w:tr>
      <w:tr>
        <w:trPr/>
        <w:tc>
          <w:tcPr>
            <w:tcW w:w="3528" w:type="dxa"/>
            <w:tcBorders/>
          </w:tcPr>
          <w:p>
            <w:pPr>
              <w:pStyle w:val="Normal"/>
              <w:snapToGrid w:val="false"/>
              <w:rPr/>
            </w:pPr>
            <w:r>
              <w:rPr/>
            </w:r>
          </w:p>
        </w:tc>
        <w:tc>
          <w:tcPr>
            <w:tcW w:w="5130" w:type="dxa"/>
            <w:tcBorders/>
          </w:tcPr>
          <w:p>
            <w:pPr>
              <w:pStyle w:val="Normal"/>
              <w:snapToGrid w:val="false"/>
              <w:rPr/>
            </w:pPr>
            <w:r>
              <w:rPr/>
            </w:r>
          </w:p>
        </w:tc>
      </w:tr>
      <w:tr>
        <w:trPr/>
        <w:tc>
          <w:tcPr>
            <w:tcW w:w="3528" w:type="dxa"/>
            <w:tcBorders/>
          </w:tcPr>
          <w:p>
            <w:pPr>
              <w:pStyle w:val="Normal"/>
              <w:rPr/>
            </w:pPr>
            <w:r>
              <w:rPr/>
              <w:t>Parking:</w:t>
            </w:r>
          </w:p>
        </w:tc>
        <w:tc>
          <w:tcPr>
            <w:tcW w:w="5130" w:type="dxa"/>
            <w:tcBorders/>
          </w:tcPr>
          <w:p>
            <w:pPr>
              <w:pStyle w:val="Normal"/>
              <w:rPr/>
            </w:pPr>
            <w:r>
              <w:rPr/>
              <w:t>Available adjacent to hotel – no charge</w:t>
            </w:r>
          </w:p>
        </w:tc>
      </w:tr>
      <w:tr>
        <w:trPr/>
        <w:tc>
          <w:tcPr>
            <w:tcW w:w="3528" w:type="dxa"/>
            <w:tcBorders/>
          </w:tcPr>
          <w:p>
            <w:pPr>
              <w:pStyle w:val="Normal"/>
              <w:snapToGrid w:val="false"/>
              <w:rPr/>
            </w:pPr>
            <w:r>
              <w:rPr/>
            </w:r>
          </w:p>
        </w:tc>
        <w:tc>
          <w:tcPr>
            <w:tcW w:w="5130" w:type="dxa"/>
            <w:tcBorders/>
          </w:tcPr>
          <w:p>
            <w:pPr>
              <w:pStyle w:val="Normal"/>
              <w:snapToGrid w:val="false"/>
              <w:rPr/>
            </w:pPr>
            <w:r>
              <w:rPr/>
            </w:r>
          </w:p>
        </w:tc>
      </w:tr>
      <w:tr>
        <w:trPr/>
        <w:tc>
          <w:tcPr>
            <w:tcW w:w="3528" w:type="dxa"/>
            <w:tcBorders/>
          </w:tcPr>
          <w:p>
            <w:pPr>
              <w:pStyle w:val="Normal"/>
              <w:rPr/>
            </w:pPr>
            <w:r>
              <w:rPr/>
              <w:t>Dress:</w:t>
            </w:r>
          </w:p>
        </w:tc>
        <w:tc>
          <w:tcPr>
            <w:tcW w:w="5130" w:type="dxa"/>
            <w:tcBorders/>
          </w:tcPr>
          <w:p>
            <w:pPr>
              <w:pStyle w:val="Normal"/>
              <w:rPr/>
            </w:pPr>
            <w:r>
              <w:rPr/>
              <w:t>Business Casual – feel free to bring a sweater or jacket as it is difficult to anticipate the temperature of the meeting room</w:t>
            </w:r>
          </w:p>
        </w:tc>
      </w:tr>
    </w:tbl>
    <w:p>
      <w:pPr>
        <w:pStyle w:val="Normal"/>
        <w:rPr/>
      </w:pPr>
      <w:r>
        <w:rPr/>
      </w:r>
    </w:p>
    <w:p>
      <w:pPr>
        <w:pStyle w:val="Heading1"/>
        <w:ind w:hanging="0" w:start="0"/>
        <w:rPr/>
      </w:pPr>
      <w:r>
        <w:rPr/>
      </w:r>
    </w:p>
    <w:p>
      <w:pPr>
        <w:pStyle w:val="Heading1"/>
        <w:ind w:hanging="0" w:start="0"/>
        <w:rPr/>
      </w:pPr>
      <w:r>
        <w:rPr/>
        <w:t>PROGRAM CONTACTS</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pPr>
            <w:r>
              <w:rPr/>
              <w:t>Program Sponsor:</w:t>
            </w:r>
          </w:p>
        </w:tc>
        <w:tc>
          <w:tcPr>
            <w:tcW w:w="4428" w:type="dxa"/>
            <w:tcBorders/>
          </w:tcPr>
          <w:p>
            <w:pPr>
              <w:pStyle w:val="Normal"/>
              <w:rPr/>
            </w:pPr>
            <w:r>
              <w:rPr/>
              <w:t xml:space="preserve">Enron Corp </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Enron Contact:</w:t>
            </w:r>
          </w:p>
        </w:tc>
        <w:tc>
          <w:tcPr>
            <w:tcW w:w="4428" w:type="dxa"/>
            <w:tcBorders/>
          </w:tcPr>
          <w:p>
            <w:pPr>
              <w:pStyle w:val="Normal"/>
              <w:rPr/>
            </w:pPr>
            <w:r>
              <w:rPr/>
              <w:t>Debbie Nowak (713.853.3304) or</w:t>
            </w:r>
          </w:p>
          <w:p>
            <w:pPr>
              <w:pStyle w:val="Normal"/>
              <w:rPr/>
            </w:pPr>
            <w:r>
              <w:rPr/>
              <w:t>Dick Amabile (713.853.3972)</w:t>
            </w:r>
          </w:p>
          <w:p>
            <w:pPr>
              <w:pStyle w:val="Normal"/>
              <w:rPr/>
            </w:pPr>
            <w:r>
              <w:rPr/>
              <w:t xml:space="preserve">e-Mail: </w:t>
            </w:r>
            <w:hyperlink r:id="rId4">
              <w:r>
                <w:rPr>
                  <w:rStyle w:val="Hyperlink"/>
                </w:rPr>
                <w:t>Debbie.Nowak@enron.com</w:t>
              </w:r>
            </w:hyperlink>
          </w:p>
          <w:p>
            <w:pPr>
              <w:pStyle w:val="Normal"/>
              <w:rPr/>
            </w:pPr>
            <w:r>
              <w:rPr/>
              <w:t>e-Mail:</w:t>
            </w:r>
            <w:hyperlink r:id="rId5">
              <w:r>
                <w:rPr>
                  <w:rStyle w:val="Hyperlink"/>
                </w:rPr>
                <w:t>Richard.Amabile@enron.com</w:t>
              </w:r>
            </w:hyperlink>
          </w:p>
          <w:p>
            <w:pPr>
              <w:pStyle w:val="Normal"/>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Program Facilitator:</w:t>
            </w:r>
          </w:p>
        </w:tc>
        <w:tc>
          <w:tcPr>
            <w:tcW w:w="4428" w:type="dxa"/>
            <w:tcBorders/>
          </w:tcPr>
          <w:p>
            <w:pPr>
              <w:pStyle w:val="Normal"/>
              <w:rPr/>
            </w:pPr>
            <w:r>
              <w:rPr/>
              <w:t>Keilty Goldsmith &amp; Company</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Keilty Goldsmith Contact:</w:t>
            </w:r>
          </w:p>
        </w:tc>
        <w:tc>
          <w:tcPr>
            <w:tcW w:w="4428" w:type="dxa"/>
            <w:tcBorders/>
          </w:tcPr>
          <w:p>
            <w:pPr>
              <w:pStyle w:val="Normal"/>
              <w:rPr/>
            </w:pPr>
            <w:r>
              <w:rPr/>
              <w:t>Christi Smith 858.450.2554</w:t>
            </w:r>
          </w:p>
        </w:tc>
      </w:tr>
    </w:tbl>
    <w:p>
      <w:pPr>
        <w:pStyle w:val="Normal"/>
        <w:rPr/>
      </w:pPr>
      <w:r>
        <w:rPr/>
      </w:r>
    </w:p>
    <w:p>
      <w:pPr>
        <w:pStyle w:val="Normal"/>
        <w:rPr/>
      </w:pPr>
      <w:r>
        <w:rPr/>
      </w:r>
    </w:p>
    <w:p>
      <w:pPr>
        <w:pStyle w:val="Normal"/>
        <w:jc w:val="center"/>
        <w:rPr/>
      </w:pPr>
      <w:r>
        <w:rPr/>
      </w:r>
    </w:p>
    <w:sectPr>
      <w:type w:val="nextPage"/>
      <w:pgSz w:w="12240" w:h="15840"/>
      <w:pgMar w:left="1800" w:right="1800" w:gutter="0" w:header="0" w:top="1440" w:footer="0" w:bottom="1440"/>
      <w:pgBorders w:display="allPages" w:offsetFrom="page">
        <w:top w:val="single" w:sz="4" w:space="24" w:color="000000" w:shadow="1"/>
        <w:left w:val="single" w:sz="4" w:space="24" w:color="000000" w:shadow="1"/>
        <w:bottom w:val="single" w:sz="4" w:space="24" w:color="000000" w:shadow="1"/>
        <w:right w:val="single" w:sz="4" w:space="2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 Old Style" w:hAnsi="Bookman Old Style" w:eastAsia="Times New Roman" w:cs="Bookman Old Style"/>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fvaughan@raymondkarsan.com" TargetMode="External"/><Relationship Id="rId4" Type="http://schemas.openxmlformats.org/officeDocument/2006/relationships/hyperlink" Target="mailto:Debbie.Nowak@enron.com" TargetMode="External"/><Relationship Id="rId5" Type="http://schemas.openxmlformats.org/officeDocument/2006/relationships/hyperlink" Target="mailto:Richard.Amabile@enron.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2000-03-31T11:13:00Z</dcterms:created>
  <dc:creator>Lewis, Susan M</dc:creator>
  <dc:description/>
  <dc:language>en-CA</dc:language>
  <cp:lastModifiedBy>dnowak</cp:lastModifiedBy>
  <cp:lastPrinted>1999-08-10T11:19:00Z</cp:lastPrinted>
  <dcterms:modified xsi:type="dcterms:W3CDTF">2000-06-28T12:07:00Z</dcterms:modified>
  <cp:revision>4</cp:revision>
  <dc:subject/>
  <dc:title> </dc:title>
</cp:coreProperties>
</file>