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B"/>
        <w:rPr/>
      </w:pPr>
      <w:r>
        <w:rPr/>
        <w:t>ASSIGNMENT OF INTEREST</w:t>
        <w:br/>
        <w:t>IN HAYWOOD POWER I , L.L.C.</w:t>
      </w:r>
    </w:p>
    <w:p>
      <w:pPr>
        <w:pStyle w:val="BodyText"/>
        <w:ind w:firstLine="720" w:end="0"/>
        <w:rPr/>
      </w:pPr>
      <w:r>
        <w:rPr/>
        <w:t>This Assignment of Interest (the “</w:t>
      </w:r>
      <w:r>
        <w:rPr>
          <w:b/>
        </w:rPr>
        <w:t>Assignment</w:t>
      </w:r>
      <w:r>
        <w:rPr/>
        <w:t xml:space="preserve">”), is by and between </w:t>
      </w:r>
      <w:r>
        <w:rPr>
          <w:b/>
          <w:smallCaps/>
        </w:rPr>
        <w:t>Volunteer Land Development Company, L.L.C.</w:t>
      </w:r>
      <w:r>
        <w:rPr/>
        <w:t>, a Delaware limited liability company (the “</w:t>
      </w:r>
      <w:r>
        <w:rPr>
          <w:b/>
        </w:rPr>
        <w:t>Assignor</w:t>
      </w:r>
      <w:r>
        <w:rPr/>
        <w:t xml:space="preserve">”) and </w:t>
      </w:r>
      <w:r>
        <w:rPr>
          <w:b/>
          <w:smallCaps/>
        </w:rPr>
        <w:t>AES Greystone, L.L.C.</w:t>
      </w:r>
      <w:r>
        <w:rPr/>
        <w:t>, a Delaware limited liability company (the “</w:t>
      </w:r>
      <w:r>
        <w:rPr>
          <w:b/>
        </w:rPr>
        <w:t>Assignee</w:t>
      </w:r>
      <w:r>
        <w:rPr/>
        <w:t>”).</w:t>
      </w:r>
    </w:p>
    <w:p>
      <w:pPr>
        <w:pStyle w:val="BodyText"/>
        <w:ind w:firstLine="720" w:end="0"/>
        <w:rPr/>
      </w:pPr>
      <w:r>
        <w:rPr/>
        <w:t>WHEREAS, the Assignor entered into a Securities Purchase Agreement with the Assignee dated December 15, 2000, whereby the Assignee agreed to purchase all of the membership interests in Haywood Power I, L.L.C., (the “</w:t>
      </w:r>
      <w:r>
        <w:rPr>
          <w:b/>
        </w:rPr>
        <w:t>Company</w:t>
      </w:r>
      <w:r>
        <w:rPr/>
        <w:t>”) held by the Assignor; and</w:t>
      </w:r>
    </w:p>
    <w:p>
      <w:pPr>
        <w:pStyle w:val="BodyText"/>
        <w:ind w:firstLine="720" w:end="0"/>
        <w:rPr/>
      </w:pPr>
      <w:r>
        <w:rPr/>
        <w:t>WHEREAS, the Assignor desires to assign of all of those interests of the Company currently held by the Assignor (the “</w:t>
      </w:r>
      <w:r>
        <w:rPr>
          <w:b/>
        </w:rPr>
        <w:t>Interests</w:t>
      </w:r>
      <w:r>
        <w:rPr/>
        <w:t>”) and the Assignee desires to accept such assignment upon the terms and conditions set forth herein;</w:t>
      </w:r>
    </w:p>
    <w:p>
      <w:pPr>
        <w:pStyle w:val="BodyText"/>
        <w:ind w:firstLine="720" w:end="0"/>
        <w:rPr/>
      </w:pPr>
      <w:r>
        <w:rPr/>
        <w:t>NOW, THEREFORE, in consideration of the mutual agreements set forth herein and for good and valuable consideration, the receipt of which is hereby acknowledged, the parties agree as follows:</w:t>
      </w:r>
    </w:p>
    <w:p>
      <w:pPr>
        <w:pStyle w:val="Level1"/>
        <w:numPr>
          <w:ilvl w:val="0"/>
          <w:numId w:val="2"/>
        </w:numPr>
        <w:rPr/>
      </w:pPr>
      <w:r>
        <w:rPr>
          <w:u w:val="single"/>
        </w:rPr>
        <w:t>Assignment</w:t>
      </w:r>
      <w:r>
        <w:rPr/>
        <w:t>. The Assignor hereby assigns to the Assignee all of his right, title and interest in and to all of the Interests of the Company owned by the Assignor, such assignment to be irrevocable and effective and binding on the Assignor as of the effective date hereof.</w:t>
      </w:r>
    </w:p>
    <w:p>
      <w:pPr>
        <w:pStyle w:val="Level1"/>
        <w:numPr>
          <w:ilvl w:val="0"/>
          <w:numId w:val="2"/>
        </w:numPr>
        <w:rPr/>
      </w:pPr>
      <w:r>
        <w:rPr>
          <w:u w:val="single"/>
        </w:rPr>
        <w:t>Membership</w:t>
      </w:r>
      <w:r>
        <w:rPr/>
        <w:t>. Upon the assignment of the Assignor’s Interests, the Assignee shall become the sole member of the Company, and shall have the rights and powers and agrees to assume all duties and obligations conferred or imposed on such membership under the Delaware Limited Liability Company Act.</w:t>
      </w:r>
    </w:p>
    <w:p>
      <w:pPr>
        <w:pStyle w:val="Level1"/>
        <w:numPr>
          <w:ilvl w:val="0"/>
          <w:numId w:val="2"/>
        </w:numPr>
        <w:rPr/>
      </w:pPr>
      <w:r>
        <w:rPr>
          <w:u w:val="single"/>
        </w:rPr>
        <w:t>Governing Law</w:t>
      </w:r>
      <w:r>
        <w:rPr/>
        <w:t>. THE LAWS OF THE STATE OF NEW YORK SHALL GOVERN THIS ASSIGNMENT WITHOUT REGARD TO CONFLICT OF LAWS PRINCIPLES.</w:t>
      </w:r>
    </w:p>
    <w:p>
      <w:pPr>
        <w:pStyle w:val="Level1"/>
        <w:numPr>
          <w:ilvl w:val="0"/>
          <w:numId w:val="2"/>
        </w:numPr>
        <w:rPr/>
      </w:pPr>
      <w:r>
        <w:rPr>
          <w:u w:val="single"/>
        </w:rPr>
        <w:t>Entire Assignment Amendments and Waivers</w:t>
      </w:r>
      <w:r>
        <w:rPr/>
        <w:t>.  This Assignment constitutes the entire agreement between the parties hereto pertaining to the subject matter hereof and supersedes all prior agreements, understandings, negotiations and discussions, whether oral or written, of the parties, and there are no warranties, representations or other agreements between the parties in connection with the subject matter hereof except as set forth specifically herein or the Securities Purchase Agreement (but specifically subject to Section 7.1 and 7.11 thereof). No supplement, modification or waiver of this Assignment shall be binding unless executed in writing by the party to be bound thereby. The failure of a party to exercise any right or remedy shall not be deemed or constituted a waiver of such right or remedy in the future. No waiver of any of the provisions of this Assignment shall be deemed or shall constitute a waiver of any other provision hereof; nor shall any such waiver constitute a continuing waiver unless otherwise expressly provided.</w:t>
      </w:r>
    </w:p>
    <w:p>
      <w:pPr>
        <w:pStyle w:val="Level1"/>
        <w:numPr>
          <w:ilvl w:val="0"/>
          <w:numId w:val="2"/>
        </w:numPr>
        <w:rPr/>
      </w:pPr>
      <w:r>
        <w:rPr>
          <w:u w:val="single"/>
        </w:rPr>
        <w:t>Binding Effect; Assignment.</w:t>
      </w:r>
      <w:r>
        <w:rPr/>
        <w:t xml:space="preserve">  This Assignment shall be binding upon the Assignor and the Assignee, and their respective successors and permitted assigns. Except as expressly provided in this Assignment, this Assignment shall not be construed so as to confer any right or benefit upon any Person other than the parties to this Assignment, and their respective successors and permitted assigns.</w:t>
      </w:r>
    </w:p>
    <w:p>
      <w:pPr>
        <w:pStyle w:val="Level1"/>
        <w:numPr>
          <w:ilvl w:val="0"/>
          <w:numId w:val="2"/>
        </w:numPr>
        <w:rPr/>
      </w:pPr>
      <w:r>
        <w:rPr>
          <w:u w:val="single"/>
        </w:rPr>
        <w:t>Severability</w:t>
      </w:r>
      <w:r>
        <w:rPr/>
        <w:t>.  If any provision of the Assignment is rendered or declared illegal or unenforceable by reason of any existing or subsequently enacted legislation or by decree of a court of last resort, the Assignor and the Assignee shall promptly meet and negotiate substitute provisions for those rendered or declared illegal or unenforceable, and all of the remaining provisions of this Assignment shall remain in full force and effect.</w:t>
      </w:r>
    </w:p>
    <w:p>
      <w:pPr>
        <w:pStyle w:val="Level1"/>
        <w:numPr>
          <w:ilvl w:val="0"/>
          <w:numId w:val="2"/>
        </w:numPr>
        <w:rPr/>
      </w:pPr>
      <w:r>
        <w:rPr>
          <w:u w:val="single"/>
        </w:rPr>
        <w:t>Headings</w:t>
      </w:r>
      <w:r>
        <w:rPr/>
        <w:t>. The headings of the sections herein are inserted for convenience of reference only and are not intended to be a part of or to affect the meaning or interpretation of this Assignment.</w:t>
      </w:r>
    </w:p>
    <w:p>
      <w:pPr>
        <w:pStyle w:val="Level1"/>
        <w:numPr>
          <w:ilvl w:val="0"/>
          <w:numId w:val="2"/>
        </w:numPr>
        <w:rPr/>
      </w:pPr>
      <w:r>
        <w:rPr>
          <w:u w:val="single"/>
        </w:rPr>
        <w:t>Execution</w:t>
      </w:r>
      <w:r>
        <w:rPr/>
        <w:t xml:space="preserve"> This Assignment may be executed in multiple counterparts each of which shall be deemed an original and all of which shall constitute one instrument.</w:t>
      </w:r>
    </w:p>
    <w:p>
      <w:pPr>
        <w:pStyle w:val="Level1"/>
        <w:rPr>
          <w:u w:val="single"/>
        </w:rPr>
      </w:pPr>
      <w:r>
        <w:rPr>
          <w:u w:val="single"/>
        </w:rPr>
      </w:r>
    </w:p>
    <w:p>
      <w:pPr>
        <w:pStyle w:val="Level1"/>
        <w:rPr>
          <w:u w:val="single"/>
        </w:rPr>
      </w:pPr>
      <w:r>
        <w:rPr>
          <w:u w:val="single"/>
        </w:rPr>
      </w:r>
    </w:p>
    <w:p>
      <w:pPr>
        <w:pStyle w:val="Level1"/>
        <w:rPr>
          <w:u w:val="single"/>
        </w:rPr>
      </w:pPr>
      <w:r>
        <w:rPr>
          <w:u w:val="single"/>
        </w:rPr>
      </w:r>
    </w:p>
    <w:p>
      <w:pPr>
        <w:pStyle w:val="Level1"/>
        <w:rPr>
          <w:u w:val="single"/>
        </w:rPr>
      </w:pPr>
      <w:r>
        <w:rPr>
          <w:u w:val="single"/>
        </w:rPr>
      </w:r>
    </w:p>
    <w:p>
      <w:pPr>
        <w:pStyle w:val="Level1"/>
        <w:rPr>
          <w:u w:val="single"/>
        </w:rPr>
      </w:pPr>
      <w:r>
        <w:rPr>
          <w:u w:val="single"/>
        </w:rPr>
      </w:r>
    </w:p>
    <w:p>
      <w:pPr>
        <w:pStyle w:val="Level1"/>
        <w:jc w:val="center"/>
        <w:rPr>
          <w:smallCaps/>
          <w:u w:val="single"/>
        </w:rPr>
      </w:pPr>
      <w:r>
        <w:rPr>
          <w:smallCaps/>
        </w:rPr>
        <w:t>[Remainder of Page Intentionally Left Blank]</w:t>
      </w:r>
    </w:p>
    <w:p>
      <w:pPr>
        <w:pStyle w:val="Level1"/>
        <w:rPr>
          <w:smallCaps/>
          <w:u w:val="single"/>
        </w:rPr>
      </w:pPr>
      <w:r>
        <w:rPr>
          <w:smallCaps/>
          <w:u w:val="single"/>
        </w:rPr>
      </w:r>
    </w:p>
    <w:p>
      <w:pPr>
        <w:pStyle w:val="Level1"/>
        <w:rPr>
          <w:u w:val="single"/>
        </w:rPr>
      </w:pPr>
      <w:r>
        <w:rPr>
          <w:u w:val="single"/>
        </w:rPr>
      </w:r>
    </w:p>
    <w:p>
      <w:pPr>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pStyle w:val="Level1"/>
        <w:rPr>
          <w:u w:val="single"/>
        </w:rPr>
      </w:pPr>
      <w:r>
        <w:rPr>
          <w:u w:val="single"/>
        </w:rPr>
      </w:r>
    </w:p>
    <w:p>
      <w:pPr>
        <w:pStyle w:val="BodyText"/>
        <w:ind w:firstLine="720" w:end="0"/>
        <w:rPr/>
      </w:pPr>
      <w:r>
        <w:rPr/>
        <w:t>IN WITNESS WHEREOF, the parties have executed this Assignment to be effective as of the 11</w:t>
      </w:r>
      <w:r>
        <w:rPr>
          <w:vertAlign w:val="superscript"/>
        </w:rPr>
        <w:t>th</w:t>
      </w:r>
      <w:r>
        <w:rPr/>
        <w:t xml:space="preserve"> day of May, 2001.</w:t>
      </w:r>
    </w:p>
    <w:p>
      <w:pPr>
        <w:pStyle w:val="Normal"/>
        <w:widowControl w:val="false"/>
        <w:tabs>
          <w:tab w:val="clear" w:pos="720"/>
          <w:tab w:val="decimal" w:pos="2862" w:leader="none"/>
        </w:tabs>
        <w:rPr/>
      </w:pPr>
      <w:r>
        <w:rPr/>
      </w:r>
    </w:p>
    <w:p>
      <w:pPr>
        <w:pStyle w:val="Sign1Line1"/>
        <w:rPr/>
      </w:pPr>
      <w:r>
        <w:rPr/>
        <w:t>Volunteer Land Development Company, L.L.C.</w:t>
      </w:r>
    </w:p>
    <w:p>
      <w:pPr>
        <w:pStyle w:val="Sign1Line2"/>
        <w:rPr/>
      </w:pPr>
      <w:r>
        <w:rPr/>
        <w:t>By:</w:t>
        <w:tab/>
      </w:r>
      <w:r>
        <w:rPr>
          <w:u w:val="single"/>
        </w:rPr>
        <w:tab/>
        <w:tab/>
      </w:r>
    </w:p>
    <w:p>
      <w:pPr>
        <w:pStyle w:val="Sign1Line2"/>
        <w:ind w:start="4680" w:end="0"/>
        <w:rPr/>
      </w:pPr>
      <w:r>
        <w:rPr/>
        <w:t xml:space="preserve">Name: </w:t>
        <w:br/>
        <w:t>Title:</w:t>
      </w:r>
    </w:p>
    <w:p>
      <w:pPr>
        <w:pStyle w:val="Normal"/>
        <w:rPr/>
      </w:pPr>
      <w:r>
        <w:rPr/>
      </w:r>
    </w:p>
    <w:p>
      <w:pPr>
        <w:pStyle w:val="Sign1Line1"/>
        <w:rPr/>
      </w:pPr>
      <w:r>
        <w:rPr/>
        <w:t>AES Greystone, L.L.C.</w:t>
      </w:r>
    </w:p>
    <w:p>
      <w:pPr>
        <w:pStyle w:val="Sign1Line2"/>
        <w:rPr/>
      </w:pPr>
      <w:r>
        <w:rPr/>
        <w:t>By:</w:t>
        <w:tab/>
      </w:r>
      <w:r>
        <w:rPr>
          <w:u w:val="single"/>
        </w:rPr>
        <w:tab/>
        <w:tab/>
      </w:r>
    </w:p>
    <w:p>
      <w:pPr>
        <w:pStyle w:val="Sign1Line2"/>
        <w:ind w:start="4680" w:end="0"/>
        <w:rPr/>
      </w:pPr>
      <w:r>
        <w:rPr/>
        <w:t xml:space="preserve">Name: </w:t>
        <w:br/>
        <w:t>Title:</w:t>
      </w:r>
    </w:p>
    <w:p>
      <w:pPr>
        <w:pStyle w:val="Signature"/>
        <w:rPr/>
      </w:pPr>
      <w:r>
        <w:rPr/>
      </w:r>
    </w:p>
    <w:p>
      <w:pPr>
        <w:pStyle w:val="Normal"/>
        <w:rPr/>
      </w:pPr>
      <w:r>
        <w:rPr/>
      </w:r>
    </w:p>
    <w:p>
      <w:pPr>
        <w:pStyle w:val="Normal"/>
        <w:rPr/>
      </w:pPr>
      <w:r>
        <w:rPr/>
      </w:r>
    </w:p>
    <w:sectPr>
      <w:footerReference w:type="default" r:id="rId3"/>
      <w:footerReference w:type="first" r:id="rId4"/>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 w:name="Times New Roman Bold">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Houston\1287349.3</w:t>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68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Houston\1287349.3</w:t>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177165"/>
              <wp:effectExtent l="0" t="0" r="0" b="0"/>
              <wp:wrapSquare wrapText="bothSides"/>
              <wp:docPr id="2" name="Frame2"/>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isLgl/>
      <w:numFmt w:val="decimal"/>
      <w:lvlText w:val="%1."/>
      <w:lvlJc w:val="start"/>
      <w:pPr>
        <w:tabs>
          <w:tab w:val="num" w:pos="720"/>
        </w:tabs>
        <w:ind w:start="720" w:hanging="720"/>
      </w:pPr>
      <w:rPr>
        <w:caps/>
        <w:i w:val="false"/>
        <w:b/>
      </w:rPr>
    </w:lvl>
    <w:lvl w:ilvl="1">
      <w:start w:val="1"/>
      <w:isLgl/>
      <w:numFmt w:val="decimal"/>
      <w:lvlText w:val="%1.%2"/>
      <w:lvlJc w:val="start"/>
      <w:pPr>
        <w:tabs>
          <w:tab w:val="num" w:pos="1440"/>
        </w:tabs>
        <w:ind w:start="1440" w:hanging="720"/>
      </w:pPr>
      <w:rPr>
        <w:i w:val="false"/>
        <w:b/>
      </w:rPr>
    </w:lvl>
    <w:lvl w:ilvl="2">
      <w:start w:val="1"/>
      <w:isLgl/>
      <w:numFmt w:val="decimal"/>
      <w:lvlText w:val="%1.%2.%3"/>
      <w:lvlJc w:val="start"/>
      <w:pPr>
        <w:tabs>
          <w:tab w:val="num" w:pos="2160"/>
        </w:tabs>
        <w:ind w:start="2160" w:hanging="720"/>
      </w:pPr>
      <w:rPr>
        <w:i w:val="false"/>
        <w:b/>
      </w:rPr>
    </w:lvl>
    <w:lvl w:ilvl="3">
      <w:start w:val="1"/>
      <w:numFmt w:val="decimal"/>
      <w:lvlText w:val="%1.%2.%3.%4."/>
      <w:lvlJc w:val="start"/>
      <w:pPr>
        <w:tabs>
          <w:tab w:val="num" w:pos="2520"/>
        </w:tabs>
        <w:ind w:start="1728" w:hanging="648"/>
      </w:pPr>
    </w:lvl>
    <w:lvl w:ilvl="4">
      <w:start w:val="1"/>
      <w:numFmt w:val="decimal"/>
      <w:lvlText w:val="%1.%2.%3.%4.%5."/>
      <w:lvlJc w:val="start"/>
      <w:pPr>
        <w:tabs>
          <w:tab w:val="num" w:pos="3240"/>
        </w:tabs>
        <w:ind w:start="2232" w:hanging="792"/>
      </w:pPr>
    </w:lvl>
    <w:lvl w:ilvl="5">
      <w:start w:val="1"/>
      <w:numFmt w:val="decimal"/>
      <w:lvlText w:val="%1.%2.%3.%4.%5.%6."/>
      <w:lvlJc w:val="start"/>
      <w:pPr>
        <w:tabs>
          <w:tab w:val="num" w:pos="3960"/>
        </w:tabs>
        <w:ind w:start="2736" w:hanging="936"/>
      </w:pPr>
    </w:lvl>
    <w:lvl w:ilvl="6">
      <w:start w:val="1"/>
      <w:numFmt w:val="decimal"/>
      <w:lvlText w:val="%1.%2.%3.%4.%5.%6.%7."/>
      <w:lvlJc w:val="start"/>
      <w:pPr>
        <w:tabs>
          <w:tab w:val="num" w:pos="4680"/>
        </w:tabs>
        <w:ind w:start="3240" w:hanging="1080"/>
      </w:pPr>
    </w:lvl>
    <w:lvl w:ilvl="7">
      <w:start w:val="1"/>
      <w:numFmt w:val="decimal"/>
      <w:lvlText w:val="%1.%2.%3.%4.%5.%6.%7.%8."/>
      <w:lvlJc w:val="start"/>
      <w:pPr>
        <w:tabs>
          <w:tab w:val="num" w:pos="5400"/>
        </w:tabs>
        <w:ind w:start="3744" w:hanging="1224"/>
      </w:pPr>
    </w:lvl>
    <w:lvl w:ilvl="8">
      <w:start w:val="1"/>
      <w:numFmt w:val="decimal"/>
      <w:lvlText w:val="%1.%2.%3.%4.%5.%6.%7.%8.%9."/>
      <w:lvlJc w:val="start"/>
      <w:pPr>
        <w:tabs>
          <w:tab w:val="num" w:pos="6120"/>
        </w:tabs>
        <w:ind w:start="4320" w:hanging="1440"/>
      </w:pPr>
    </w:lvl>
  </w:abstractNum>
  <w:abstractNum w:abstractNumId="2">
    <w:lvl w:ilvl="0">
      <w:start w:val="1"/>
      <w:numFmt w:val="decimal"/>
      <w:lvlText w:val="%1."/>
      <w:lvlJc w:val="start"/>
      <w:pPr>
        <w:tabs>
          <w:tab w:val="num" w:pos="720"/>
        </w:tabs>
        <w:ind w:start="720" w:hanging="720"/>
      </w:pPr>
      <w:rPr>
        <w:sz w:val="24"/>
        <w:i w:val="false"/>
        <w:u w:val="none"/>
        <w:b w:val="false"/>
        <w:rFonts w:ascii="Times New Roman" w:hAnsi="Times New Roman" w:cs="Times New Roman"/>
        <w:color w:val="auto"/>
      </w:rPr>
    </w:lvl>
    <w:lvl w:ilvl="1">
      <w:start w:val="1"/>
      <w:numFmt w:val="lowerLetter"/>
      <w:lvlText w:val="(%2)"/>
      <w:lvlJc w:val="start"/>
      <w:pPr>
        <w:tabs>
          <w:tab w:val="num" w:pos="1080"/>
        </w:tabs>
        <w:ind w:start="720" w:hanging="0"/>
      </w:pPr>
      <w:rPr>
        <w:sz w:val="24"/>
        <w:i w:val="false"/>
        <w:u w:val="none"/>
        <w:b w:val="false"/>
        <w:rFonts w:ascii="Times New Roman" w:hAnsi="Times New Roman" w:cs="Times New Roman"/>
        <w:color w:val="auto"/>
      </w:rPr>
    </w:lvl>
    <w:lvl w:ilvl="2">
      <w:start w:val="1"/>
      <w:numFmt w:val="lowerLetter"/>
      <w:lvlText w:val="(%3)"/>
      <w:lvlJc w:val="start"/>
      <w:pPr>
        <w:tabs>
          <w:tab w:val="num" w:pos="1800"/>
        </w:tabs>
        <w:ind w:start="1080" w:firstLine="360"/>
      </w:pPr>
      <w:rPr>
        <w:sz w:val="24"/>
        <w:i w:val="false"/>
        <w:u w:val="none"/>
        <w:b w:val="false"/>
        <w:rFonts w:ascii="Times New Roman" w:hAnsi="Times New Roman" w:cs="Times New Roman"/>
        <w:color w:val="auto"/>
      </w:rPr>
    </w:lvl>
    <w:lvl w:ilvl="3">
      <w:start w:val="1"/>
      <w:numFmt w:val="lowerRoman"/>
      <w:lvlText w:val="(%4)"/>
      <w:lvlJc w:val="start"/>
      <w:pPr>
        <w:tabs>
          <w:tab w:val="num" w:pos="2160"/>
        </w:tabs>
        <w:ind w:start="1440" w:hanging="0"/>
      </w:pPr>
      <w:rPr>
        <w:sz w:val="24"/>
        <w:i w:val="false"/>
        <w:u w:val="none"/>
        <w:b w:val="false"/>
        <w:rFonts w:ascii="TIMES" w:hAnsi="TIMES" w:cs="TIMES"/>
        <w:color w:val="auto"/>
      </w:rPr>
    </w:lvl>
    <w:lvl w:ilvl="4">
      <w:start w:val="1"/>
      <w:numFmt w:val="decimal"/>
      <w:lvlText w:val="(%5)"/>
      <w:lvlJc w:val="start"/>
      <w:pPr>
        <w:tabs>
          <w:tab w:val="num" w:pos="2520"/>
        </w:tabs>
        <w:ind w:start="2160" w:hanging="0"/>
      </w:pPr>
      <w:rPr>
        <w:sz w:val="24"/>
        <w:i w:val="false"/>
        <w:u w:val="none"/>
        <w:b w:val="false"/>
        <w:rFonts w:ascii="Times New Roman" w:hAnsi="Times New Roman" w:cs="Times New Roman"/>
        <w:color w:val="auto"/>
      </w:rPr>
    </w:lvl>
    <w:lvl w:ilvl="5">
      <w:start w:val="1"/>
      <w:numFmt w:val="lowerRoman"/>
      <w:lvlText w:val="(%6)"/>
      <w:lvlJc w:val="start"/>
      <w:pPr>
        <w:tabs>
          <w:tab w:val="num" w:pos="252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3">
    <w:lvl w:ilvl="0">
      <w:start w:val="1"/>
      <w:numFmt w:val="upperRoman"/>
      <w:suff w:val="nothing"/>
      <w:lvlText w:val="ARTICLE %1"/>
      <w:lvlJc w:val="center"/>
      <w:pPr>
        <w:tabs>
          <w:tab w:val="num" w:pos="0"/>
        </w:tabs>
        <w:ind w:start="0" w:firstLine="5040"/>
      </w:pPr>
      <w:rPr>
        <w:sz w:val="24"/>
        <w:i w:val="false"/>
        <w:b/>
        <w:rFonts w:ascii="Times New Roman" w:hAnsi="Times New Roman" w:cs="Times New Roman"/>
      </w:rPr>
    </w:lvl>
    <w:lvl w:ilvl="1">
      <w:start w:val="1"/>
      <w:isLgl/>
      <w:numFmt w:val="decimal"/>
      <w:lvlText w:val="Section %1.%2"/>
      <w:lvlJc w:val="start"/>
      <w:pPr>
        <w:tabs>
          <w:tab w:val="num" w:pos="1800"/>
        </w:tabs>
        <w:ind w:start="0" w:hanging="0"/>
      </w:pPr>
    </w:lvl>
    <w:lvl w:ilvl="2">
      <w:start w:val="1"/>
      <w:numFmt w:val="lowerLetter"/>
      <w:lvlText w:val="(%3)"/>
      <w:lvlJc w:val="start"/>
      <w:pPr>
        <w:tabs>
          <w:tab w:val="num" w:pos="1080"/>
        </w:tabs>
        <w:ind w:start="720" w:hanging="0"/>
      </w:pPr>
    </w:lvl>
    <w:lvl w:ilvl="3">
      <w:start w:val="1"/>
      <w:numFmt w:val="lowerRoman"/>
      <w:lvlText w:val="(%4)"/>
      <w:lvlJc w:val="start"/>
      <w:pPr>
        <w:tabs>
          <w:tab w:val="num" w:pos="2160"/>
        </w:tabs>
        <w:ind w:start="1440" w:hanging="0"/>
      </w:pPr>
    </w:lvl>
    <w:lvl w:ilvl="4">
      <w:start w:val="1"/>
      <w:numFmt w:val="decimal"/>
      <w:lvlText w:val="%5)"/>
      <w:lvlJc w:val="start"/>
      <w:pPr>
        <w:tabs>
          <w:tab w:val="num" w:pos="1008"/>
        </w:tabs>
        <w:ind w:start="1008" w:hanging="432"/>
      </w:pPr>
    </w:lvl>
    <w:lvl w:ilvl="5">
      <w:start w:val="1"/>
      <w:numFmt w:val="lowerLetter"/>
      <w:lvlText w:val="%6)"/>
      <w:lvlJc w:val="start"/>
      <w:pPr>
        <w:tabs>
          <w:tab w:val="num" w:pos="1152"/>
        </w:tabs>
        <w:ind w:start="1152" w:hanging="432"/>
      </w:pPr>
    </w:lvl>
    <w:lvl w:ilvl="6">
      <w:start w:val="1"/>
      <w:numFmt w:val="lowerRoman"/>
      <w:lvlText w:val="%7)"/>
      <w:lvlJc w:val="end"/>
      <w:pPr>
        <w:tabs>
          <w:tab w:val="num" w:pos="1296"/>
        </w:tabs>
        <w:ind w:start="1296" w:hanging="288"/>
      </w:pPr>
    </w:lvl>
    <w:lvl w:ilvl="7">
      <w:start w:val="1"/>
      <w:numFmt w:val="lowerLetter"/>
      <w:lvlText w:val="%8."/>
      <w:lvlJc w:val="start"/>
      <w:pPr>
        <w:tabs>
          <w:tab w:val="num" w:pos="1440"/>
        </w:tabs>
        <w:ind w:start="1440" w:hanging="432"/>
      </w:pPr>
    </w:lvl>
    <w:lvl w:ilvl="8">
      <w:start w:val="1"/>
      <w:numFmt w:val="lowerRoman"/>
      <w:lvlText w:val="%9."/>
      <w:lvlJc w:val="end"/>
      <w:pPr>
        <w:tabs>
          <w:tab w:val="num" w:pos="1584"/>
        </w:tabs>
        <w:ind w:start="1584" w:hanging="144"/>
      </w:p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character" w:styleId="WW8Num1z0">
    <w:name w:val="WW8Num1z0"/>
    <w:qFormat/>
    <w:rPr>
      <w:b/>
      <w:i w:val="false"/>
      <w:caps/>
    </w:rPr>
  </w:style>
  <w:style w:type="character" w:styleId="WW8Num1z1">
    <w:name w:val="WW8Num1z1"/>
    <w:qFormat/>
    <w:rPr>
      <w:b/>
      <w:i w:val="false"/>
    </w:rPr>
  </w:style>
  <w:style w:type="character" w:styleId="WW8Num2z0">
    <w:name w:val="WW8Num2z0"/>
    <w:qFormat/>
    <w:rPr>
      <w:rFonts w:ascii="Times New Roman" w:hAnsi="Times New Roman" w:cs="Times New Roman"/>
      <w:b w:val="false"/>
      <w:i w:val="false"/>
      <w:color w:val="auto"/>
      <w:sz w:val="24"/>
      <w:u w:val="none"/>
    </w:rPr>
  </w:style>
  <w:style w:type="character" w:styleId="WW8Num2z3">
    <w:name w:val="WW8Num2z3"/>
    <w:qFormat/>
    <w:rPr>
      <w:rFonts w:ascii="TIMES" w:hAnsi="TIMES" w:cs="TIMES"/>
      <w:b w:val="false"/>
      <w:i w:val="false"/>
      <w:color w:val="auto"/>
      <w:sz w:val="24"/>
      <w:u w:val="none"/>
    </w:rPr>
  </w:style>
  <w:style w:type="character" w:styleId="WW8Num5z0">
    <w:name w:val="WW8Num5z0"/>
    <w:qFormat/>
    <w:rPr>
      <w:rFonts w:ascii="Times New Roman" w:hAnsi="Times New Roman" w:cs="Times New Roman"/>
      <w:b/>
      <w:i w:val="false"/>
      <w:sz w:val="24"/>
    </w:rPr>
  </w:style>
  <w:style w:type="character" w:styleId="DefaultParagraphFont">
    <w:name w:val="Default Paragraph Font"/>
    <w:qFormat/>
    <w:rPr/>
  </w:style>
  <w:style w:type="character" w:styleId="Corporate2A">
    <w:name w:val="Corporate2A"/>
    <w:basedOn w:val="DefaultParagraphFont"/>
    <w:qFormat/>
    <w:rPr>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FirstIndent">
    <w:name w:val="Body Text First Indent"/>
    <w:basedOn w:val="BodyText"/>
    <w:qFormat/>
    <w:pPr>
      <w:spacing w:before="0" w:after="240"/>
    </w:pPr>
    <w:rPr/>
  </w:style>
  <w:style w:type="paragraph" w:styleId="Corporate1">
    <w:name w:val="Corporate 1"/>
    <w:basedOn w:val="Normal"/>
    <w:next w:val="Corporate2"/>
    <w:qFormat/>
    <w:pPr>
      <w:numPr>
        <w:ilvl w:val="0"/>
        <w:numId w:val="3"/>
      </w:numPr>
      <w:spacing w:before="0" w:after="360"/>
      <w:jc w:val="center"/>
      <w:outlineLvl w:val="0"/>
    </w:pPr>
    <w:rPr>
      <w:b/>
      <w:caps/>
    </w:rPr>
  </w:style>
  <w:style w:type="paragraph" w:styleId="Corporate2">
    <w:name w:val="Corporate 2"/>
    <w:basedOn w:val="Normal"/>
    <w:next w:val="Normal"/>
    <w:qFormat/>
    <w:pPr>
      <w:numPr>
        <w:ilvl w:val="0"/>
        <w:numId w:val="3"/>
      </w:numPr>
      <w:tabs>
        <w:tab w:val="clear" w:pos="720"/>
        <w:tab w:val="left" w:pos="1440" w:leader="none"/>
      </w:tabs>
      <w:spacing w:before="0" w:after="240"/>
      <w:outlineLvl w:val="1"/>
    </w:pPr>
    <w:rPr/>
  </w:style>
  <w:style w:type="paragraph" w:styleId="Corporate3">
    <w:name w:val="Corporate 3"/>
    <w:basedOn w:val="Normal"/>
    <w:qFormat/>
    <w:pPr>
      <w:numPr>
        <w:ilvl w:val="0"/>
        <w:numId w:val="3"/>
      </w:numPr>
      <w:spacing w:before="0" w:after="240"/>
    </w:pPr>
    <w:rPr/>
  </w:style>
  <w:style w:type="paragraph" w:styleId="Corporate4">
    <w:name w:val="Corporate 4"/>
    <w:basedOn w:val="Normal"/>
    <w:qFormat/>
    <w:pPr>
      <w:numPr>
        <w:ilvl w:val="0"/>
        <w:numId w:val="3"/>
      </w:numPr>
      <w:spacing w:before="0" w:after="240"/>
    </w:pPr>
    <w:rPr/>
  </w:style>
  <w:style w:type="paragraph" w:styleId="Corporate1A">
    <w:name w:val="Corporate1A"/>
    <w:basedOn w:val="Normal"/>
    <w:next w:val="Corporate2"/>
    <w:qFormat/>
    <w:pPr>
      <w:tabs>
        <w:tab w:val="clear" w:pos="720"/>
        <w:tab w:val="center" w:pos="4680" w:leader="none"/>
      </w:tabs>
      <w:spacing w:before="0" w:after="240"/>
      <w:jc w:val="center"/>
    </w:pPr>
    <w:rPr/>
  </w:style>
  <w:style w:type="paragraph" w:styleId="PlainText">
    <w:name w:val="Plain Text"/>
    <w:basedOn w:val="Normal"/>
    <w:qFormat/>
    <w:pPr/>
    <w:rPr>
      <w:rFonts w:ascii="Courier New" w:hAnsi="Courier New" w:cs="Courier New"/>
      <w:sz w:val="20"/>
    </w:rPr>
  </w:style>
  <w:style w:type="paragraph" w:styleId="Section1">
    <w:name w:val="Section 1"/>
    <w:basedOn w:val="PlainText"/>
    <w:qFormat/>
    <w:pPr>
      <w:keepNext w:val="true"/>
      <w:spacing w:before="0" w:after="240"/>
      <w:outlineLvl w:val="0"/>
    </w:pPr>
    <w:rPr>
      <w:rFonts w:ascii="Times New Roman Bold" w:hAnsi="Times New Roman Bold" w:cs="Times New Roman Bold"/>
      <w:b/>
      <w:caps/>
      <w:sz w:val="24"/>
    </w:rPr>
  </w:style>
  <w:style w:type="paragraph" w:styleId="Section11">
    <w:name w:val="Section 1.1"/>
    <w:basedOn w:val="Normal"/>
    <w:qFormat/>
    <w:pPr>
      <w:numPr>
        <w:ilvl w:val="0"/>
        <w:numId w:val="1"/>
      </w:numPr>
      <w:spacing w:before="0" w:after="240"/>
    </w:pPr>
    <w:rPr/>
  </w:style>
  <w:style w:type="paragraph" w:styleId="Section111">
    <w:name w:val="Section 1.1.1"/>
    <w:basedOn w:val="Normal"/>
    <w:qFormat/>
    <w:pPr>
      <w:numPr>
        <w:ilvl w:val="0"/>
        <w:numId w:val="1"/>
      </w:numPr>
      <w:spacing w:before="0" w:after="240"/>
    </w:pPr>
    <w:rPr/>
  </w:style>
  <w:style w:type="paragraph" w:styleId="CenterB">
    <w:name w:val="Center +B"/>
    <w:basedOn w:val="Normal"/>
    <w:qFormat/>
    <w:pPr>
      <w:spacing w:before="0" w:after="240"/>
      <w:jc w:val="center"/>
    </w:pPr>
    <w:rPr>
      <w:rFonts w:ascii="TIMES" w:hAnsi="TIMES" w:cs="TIMES"/>
      <w:b/>
      <w:lang w:eastAsia="en-US"/>
    </w:rPr>
  </w:style>
  <w:style w:type="paragraph" w:styleId="Signature">
    <w:name w:val="Signature"/>
    <w:basedOn w:val="Normal"/>
    <w:pPr>
      <w:tabs>
        <w:tab w:val="clear" w:pos="720"/>
        <w:tab w:val="left" w:pos="4680" w:leader="none"/>
        <w:tab w:val="left" w:pos="5040" w:leader="none"/>
        <w:tab w:val="left" w:pos="9180" w:leader="none"/>
      </w:tabs>
      <w:suppressAutoHyphens w:val="true"/>
      <w:ind w:hanging="0" w:start="4320" w:end="0"/>
      <w:jc w:val="start"/>
    </w:pPr>
    <w:rPr>
      <w:smallCaps/>
      <w:lang w:eastAsia="en-US"/>
    </w:rPr>
  </w:style>
  <w:style w:type="paragraph" w:styleId="Sign1Line1">
    <w:name w:val="Sign1Line1"/>
    <w:basedOn w:val="Normal"/>
    <w:qFormat/>
    <w:pPr>
      <w:tabs>
        <w:tab w:val="clear" w:pos="720"/>
        <w:tab w:val="left" w:pos="4680" w:leader="none"/>
        <w:tab w:val="left" w:pos="5040" w:leader="none"/>
        <w:tab w:val="left" w:pos="9360" w:leader="none"/>
      </w:tabs>
      <w:spacing w:before="0" w:after="960"/>
      <w:ind w:hanging="0" w:start="4320" w:end="0"/>
      <w:jc w:val="start"/>
    </w:pPr>
    <w:rPr>
      <w:smallCaps/>
      <w:lang w:eastAsia="en-US"/>
    </w:rPr>
  </w:style>
  <w:style w:type="paragraph" w:styleId="Sign1Line2">
    <w:name w:val="Sign1Line2"/>
    <w:basedOn w:val="Sign1Line1"/>
    <w:qFormat/>
    <w:pPr>
      <w:spacing w:before="0" w:after="0"/>
    </w:pPr>
    <w:rPr>
      <w:caps w:val="false"/>
      <w:smallCaps w:val="false"/>
    </w:rPr>
  </w:style>
  <w:style w:type="paragraph" w:styleId="Level1">
    <w:name w:val="Level 1"/>
    <w:basedOn w:val="BodyText"/>
    <w:qFormat/>
    <w:pPr>
      <w:spacing w:before="0" w:after="240"/>
    </w:pPr>
    <w:rPr>
      <w:lang w:eastAsia="en-U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2001-05-11T11:39:00Z</dcterms:created>
  <dc:creator>Bracewell &amp; Patterson, LLP</dc:creator>
  <dc:description/>
  <dc:language>en-CA</dc:language>
  <cp:lastModifiedBy>Bracewell &amp; Patterson, LLP</cp:lastModifiedBy>
  <dcterms:modified xsi:type="dcterms:W3CDTF">2001-05-11T11:52:00Z</dcterms:modified>
  <cp:revision>3</cp:revision>
  <dc:subject/>
  <dc:title>ASSIGNMENT OF INTEREST</dc:title>
</cp:coreProperties>
</file>