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en-CA" w:eastAsia="en-CA"/>
        </w:rPr>
      </w:pPr>
      <w:r>
        <w:rPr>
          <w:b/>
          <w:lang w:val="en-CA" w:eastAsia="en-CA"/>
        </w:rPr>
      </w:r>
      <w:r>
        <mc:AlternateContent>
          <mc:Choice Requires="wps">
            <w:drawing>
              <wp:anchor behindDoc="0" distT="0" distB="0" distL="114935" distR="114935" simplePos="0" locked="0" layoutInCell="1" allowOverlap="1" relativeHeight="2">
                <wp:simplePos x="0" y="0"/>
                <wp:positionH relativeFrom="column">
                  <wp:posOffset>-62865</wp:posOffset>
                </wp:positionH>
                <wp:positionV relativeFrom="paragraph">
                  <wp:posOffset>-568960</wp:posOffset>
                </wp:positionV>
                <wp:extent cx="1676400" cy="1173480"/>
                <wp:effectExtent l="0" t="0" r="0" b="0"/>
                <wp:wrapNone/>
                <wp:docPr id="1" name="Frame2"/>
                <a:graphic xmlns:a="http://schemas.openxmlformats.org/drawingml/2006/main">
                  <a:graphicData uri="http://schemas.microsoft.com/office/word/2010/wordprocessingShape">
                    <wps:wsp>
                      <wps:cNvSpPr txBox="1"/>
                      <wps:spPr>
                        <a:xfrm>
                          <a:off x="0" y="0"/>
                          <a:ext cx="1676400" cy="1173480"/>
                        </a:xfrm>
                        <a:prstGeom prst="rect"/>
                        <a:solidFill>
                          <a:srgbClr val="FFFFFF">
                            <a:alpha val="0"/>
                          </a:srgbClr>
                        </a:solidFill>
                      </wps:spPr>
                      <wps:txbx>
                        <w:txbxContent>
                          <w:p>
                            <w:pPr>
                              <w:pStyle w:val="Normal"/>
                              <w:rPr/>
                            </w:pPr>
                            <w:r>
                              <w:rPr/>
                              <w:drawing>
                                <wp:inline distT="0" distB="0" distL="0" distR="0">
                                  <wp:extent cx="1371600" cy="10991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3" t="-29" r="-23" b="-29"/>
                                          <a:stretch>
                                            <a:fillRect/>
                                          </a:stretch>
                                        </pic:blipFill>
                                        <pic:spPr bwMode="auto">
                                          <a:xfrm>
                                            <a:off x="0" y="0"/>
                                            <a:ext cx="1371600" cy="1099185"/>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32pt;height:92.4pt;mso-wrap-distance-left:9.05pt;mso-wrap-distance-right:9.05pt;mso-wrap-distance-top:0pt;mso-wrap-distance-bottom:0pt;margin-top:-44.8pt;mso-position-vertical-relative:text;margin-left:-4.95pt;mso-position-horizontal-relative:text">
                <v:fill opacity="0f"/>
                <v:textbox inset="0.000694444444444445in,0.000694444444444445in,0.000694444444444445in,0.000694444444444445in">
                  <w:txbxContent>
                    <w:p>
                      <w:pPr>
                        <w:pStyle w:val="Normal"/>
                        <w:rPr/>
                      </w:pPr>
                      <w:r>
                        <w:rPr/>
                        <w:drawing>
                          <wp:inline distT="0" distB="0" distL="0" distR="0">
                            <wp:extent cx="1371600" cy="109918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3" t="-29" r="-23" b="-29"/>
                                    <a:stretch>
                                      <a:fillRect/>
                                    </a:stretch>
                                  </pic:blipFill>
                                  <pic:spPr bwMode="auto">
                                    <a:xfrm>
                                      <a:off x="0" y="0"/>
                                      <a:ext cx="1371600" cy="10991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4006215</wp:posOffset>
                </wp:positionH>
                <wp:positionV relativeFrom="paragraph">
                  <wp:posOffset>-462280</wp:posOffset>
                </wp:positionV>
                <wp:extent cx="1981200" cy="1752600"/>
                <wp:effectExtent l="0" t="0" r="0" b="0"/>
                <wp:wrapNone/>
                <wp:docPr id="4" name="Frame1"/>
                <a:graphic xmlns:a="http://schemas.openxmlformats.org/drawingml/2006/main">
                  <a:graphicData uri="http://schemas.microsoft.com/office/word/2010/wordprocessingShape">
                    <wps:wsp>
                      <wps:cNvSpPr txBox="1"/>
                      <wps:spPr>
                        <a:xfrm>
                          <a:off x="0" y="0"/>
                          <a:ext cx="1981200" cy="1752600"/>
                        </a:xfrm>
                        <a:prstGeom prst="rect"/>
                        <a:solidFill>
                          <a:srgbClr val="FFFFFF">
                            <a:alpha val="0"/>
                          </a:srgbClr>
                        </a:solidFill>
                      </wps:spPr>
                      <wps:txbx>
                        <w:txbxContent>
                          <w:p>
                            <w:pPr>
                              <w:pStyle w:val="Normal"/>
                              <w:rPr>
                                <w:b/>
                                <w:sz w:val="22"/>
                              </w:rPr>
                            </w:pPr>
                            <w:r>
                              <w:rPr>
                                <w:b/>
                                <w:sz w:val="22"/>
                              </w:rPr>
                              <w:t>Media Contacts:</w:t>
                            </w:r>
                          </w:p>
                          <w:p>
                            <w:pPr>
                              <w:pStyle w:val="Heading1"/>
                              <w:ind w:hanging="0" w:start="0"/>
                              <w:rPr>
                                <w:sz w:val="22"/>
                              </w:rPr>
                            </w:pPr>
                            <w:r>
                              <w:rPr>
                                <w:sz w:val="22"/>
                              </w:rPr>
                              <w:t>Tracy Fairchild</w:t>
                            </w:r>
                          </w:p>
                          <w:p>
                            <w:pPr>
                              <w:pStyle w:val="Normal"/>
                              <w:rPr>
                                <w:sz w:val="22"/>
                              </w:rPr>
                            </w:pPr>
                            <w:r>
                              <w:rPr>
                                <w:sz w:val="22"/>
                              </w:rPr>
                              <w:t>916-442-2331</w:t>
                            </w:r>
                          </w:p>
                          <w:p>
                            <w:pPr>
                              <w:pStyle w:val="Normal"/>
                              <w:rPr>
                                <w:sz w:val="22"/>
                              </w:rPr>
                            </w:pPr>
                            <w:r>
                              <w:rPr>
                                <w:sz w:val="22"/>
                              </w:rPr>
                              <w:t>916-835-9007 mobile</w:t>
                            </w:r>
                          </w:p>
                          <w:p>
                            <w:pPr>
                              <w:pStyle w:val="Normal"/>
                              <w:rPr>
                                <w:sz w:val="22"/>
                              </w:rPr>
                            </w:pPr>
                            <w:r>
                              <w:rPr>
                                <w:rStyle w:val="Hyperlink"/>
                                <w:sz w:val="22"/>
                              </w:rPr>
                              <w:t>tracy.fairchild@edelman.com</w:t>
                            </w:r>
                          </w:p>
                          <w:p>
                            <w:pPr>
                              <w:pStyle w:val="Normal"/>
                              <w:rPr>
                                <w:sz w:val="22"/>
                              </w:rPr>
                            </w:pPr>
                            <w:r>
                              <w:rPr>
                                <w:sz w:val="22"/>
                              </w:rPr>
                            </w:r>
                          </w:p>
                          <w:p>
                            <w:pPr>
                              <w:pStyle w:val="Normal"/>
                              <w:rPr>
                                <w:sz w:val="22"/>
                              </w:rPr>
                            </w:pPr>
                            <w:r>
                              <w:rPr>
                                <w:sz w:val="22"/>
                              </w:rPr>
                              <w:t>Erica Manuel</w:t>
                            </w:r>
                          </w:p>
                          <w:p>
                            <w:pPr>
                              <w:pStyle w:val="Normal"/>
                              <w:rPr>
                                <w:sz w:val="22"/>
                              </w:rPr>
                            </w:pPr>
                            <w:r>
                              <w:rPr>
                                <w:sz w:val="22"/>
                              </w:rPr>
                              <w:t>916-442-2331</w:t>
                            </w:r>
                          </w:p>
                          <w:p>
                            <w:pPr>
                              <w:pStyle w:val="Normal"/>
                              <w:rPr>
                                <w:sz w:val="22"/>
                              </w:rPr>
                            </w:pPr>
                            <w:r>
                              <w:rPr>
                                <w:sz w:val="22"/>
                              </w:rPr>
                              <w:t>916-201-5029 mobile</w:t>
                            </w:r>
                          </w:p>
                          <w:p>
                            <w:pPr>
                              <w:pStyle w:val="Normal"/>
                              <w:rPr/>
                            </w:pPr>
                            <w:r>
                              <w:rPr>
                                <w:rStyle w:val="Hyperlink"/>
                                <w:sz w:val="22"/>
                              </w:rPr>
                              <w:t>erica.manuel@edelman.com</w:t>
                            </w:r>
                            <w:r>
                              <w:rPr>
                                <w:sz w:val="22"/>
                              </w:rPr>
                              <w:t xml:space="preserve"> </w:t>
                            </w:r>
                          </w:p>
                        </w:txbxContent>
                      </wps:txbx>
                      <wps:bodyPr anchor="t" lIns="635" tIns="635" rIns="635" bIns="635">
                        <a:noAutofit/>
                      </wps:bodyPr>
                    </wps:wsp>
                  </a:graphicData>
                </a:graphic>
              </wp:anchor>
            </w:drawing>
          </mc:Choice>
          <mc:Fallback>
            <w:pict>
              <v:rect fillcolor="#FFFFFF" style="position:absolute;rotation:-0;width:156pt;height:138pt;mso-wrap-distance-left:9.05pt;mso-wrap-distance-right:9.05pt;mso-wrap-distance-top:0pt;mso-wrap-distance-bottom:0pt;margin-top:-36.4pt;mso-position-vertical-relative:text;margin-left:315.45pt;mso-position-horizontal-relative:text">
                <v:fill opacity="0f"/>
                <v:textbox inset="0.000694444444444445in,0.000694444444444445in,0.000694444444444445in,0.000694444444444445in">
                  <w:txbxContent>
                    <w:p>
                      <w:pPr>
                        <w:pStyle w:val="Normal"/>
                        <w:rPr>
                          <w:b/>
                          <w:sz w:val="22"/>
                        </w:rPr>
                      </w:pPr>
                      <w:r>
                        <w:rPr>
                          <w:b/>
                          <w:sz w:val="22"/>
                        </w:rPr>
                        <w:t>Media Contacts:</w:t>
                      </w:r>
                    </w:p>
                    <w:p>
                      <w:pPr>
                        <w:pStyle w:val="Heading1"/>
                        <w:ind w:hanging="0" w:start="0"/>
                        <w:rPr>
                          <w:sz w:val="22"/>
                        </w:rPr>
                      </w:pPr>
                      <w:r>
                        <w:rPr>
                          <w:sz w:val="22"/>
                        </w:rPr>
                        <w:t>Tracy Fairchild</w:t>
                      </w:r>
                    </w:p>
                    <w:p>
                      <w:pPr>
                        <w:pStyle w:val="Normal"/>
                        <w:rPr>
                          <w:sz w:val="22"/>
                        </w:rPr>
                      </w:pPr>
                      <w:r>
                        <w:rPr>
                          <w:sz w:val="22"/>
                        </w:rPr>
                        <w:t>916-442-2331</w:t>
                      </w:r>
                    </w:p>
                    <w:p>
                      <w:pPr>
                        <w:pStyle w:val="Normal"/>
                        <w:rPr>
                          <w:sz w:val="22"/>
                        </w:rPr>
                      </w:pPr>
                      <w:r>
                        <w:rPr>
                          <w:sz w:val="22"/>
                        </w:rPr>
                        <w:t>916-835-9007 mobile</w:t>
                      </w:r>
                    </w:p>
                    <w:p>
                      <w:pPr>
                        <w:pStyle w:val="Normal"/>
                        <w:rPr>
                          <w:sz w:val="22"/>
                        </w:rPr>
                      </w:pPr>
                      <w:r>
                        <w:rPr>
                          <w:rStyle w:val="Hyperlink"/>
                          <w:sz w:val="22"/>
                        </w:rPr>
                        <w:t>tracy.fairchild@edelman.com</w:t>
                      </w:r>
                    </w:p>
                    <w:p>
                      <w:pPr>
                        <w:pStyle w:val="Normal"/>
                        <w:rPr>
                          <w:sz w:val="22"/>
                        </w:rPr>
                      </w:pPr>
                      <w:r>
                        <w:rPr>
                          <w:sz w:val="22"/>
                        </w:rPr>
                      </w:r>
                    </w:p>
                    <w:p>
                      <w:pPr>
                        <w:pStyle w:val="Normal"/>
                        <w:rPr>
                          <w:sz w:val="22"/>
                        </w:rPr>
                      </w:pPr>
                      <w:r>
                        <w:rPr>
                          <w:sz w:val="22"/>
                        </w:rPr>
                        <w:t>Erica Manuel</w:t>
                      </w:r>
                    </w:p>
                    <w:p>
                      <w:pPr>
                        <w:pStyle w:val="Normal"/>
                        <w:rPr>
                          <w:sz w:val="22"/>
                        </w:rPr>
                      </w:pPr>
                      <w:r>
                        <w:rPr>
                          <w:sz w:val="22"/>
                        </w:rPr>
                        <w:t>916-442-2331</w:t>
                      </w:r>
                    </w:p>
                    <w:p>
                      <w:pPr>
                        <w:pStyle w:val="Normal"/>
                        <w:rPr>
                          <w:sz w:val="22"/>
                        </w:rPr>
                      </w:pPr>
                      <w:r>
                        <w:rPr>
                          <w:sz w:val="22"/>
                        </w:rPr>
                        <w:t>916-201-5029 mobile</w:t>
                      </w:r>
                    </w:p>
                    <w:p>
                      <w:pPr>
                        <w:pStyle w:val="Normal"/>
                        <w:rPr/>
                      </w:pPr>
                      <w:r>
                        <w:rPr>
                          <w:rStyle w:val="Hyperlink"/>
                          <w:sz w:val="22"/>
                        </w:rPr>
                        <w:t>erica.manuel@edelman.com</w:t>
                      </w:r>
                      <w:r>
                        <w:rPr>
                          <w:sz w:val="22"/>
                        </w:rPr>
                        <w:t xml:space="preserve"> </w:t>
                      </w:r>
                    </w:p>
                  </w:txbxContent>
                </v:textbox>
                <w10:wrap type="none"/>
              </v:rect>
            </w:pict>
          </mc:Fallback>
        </mc:AlternateContent>
      </w:r>
    </w:p>
    <w:p>
      <w:pPr>
        <w:pStyle w:val="Normal"/>
        <w:jc w:val="center"/>
        <w:rPr>
          <w:b/>
          <w:sz w:val="32"/>
        </w:rPr>
      </w:pPr>
      <w:r>
        <w:rPr>
          <w:b/>
          <w:sz w:val="32"/>
        </w:rPr>
      </w:r>
    </w:p>
    <w:p>
      <w:pPr>
        <w:pStyle w:val="Normal"/>
        <w:rPr>
          <w:b/>
          <w:sz w:val="32"/>
        </w:rPr>
      </w:pPr>
      <w:r>
        <w:rPr>
          <w:b/>
          <w:sz w:val="32"/>
        </w:rPr>
      </w:r>
    </w:p>
    <w:p>
      <w:pPr>
        <w:pStyle w:val="Normal"/>
        <w:rPr>
          <w:b/>
        </w:rPr>
      </w:pPr>
      <w:r>
        <w:rPr>
          <w:b/>
        </w:rPr>
      </w:r>
    </w:p>
    <w:p>
      <w:pPr>
        <w:pStyle w:val="Normal"/>
        <w:rPr>
          <w:b/>
        </w:rPr>
      </w:pPr>
      <w:r>
        <w:rPr>
          <w:b/>
        </w:rPr>
        <w:t>FOR IMMEDIATE RELEASE</w:t>
      </w:r>
    </w:p>
    <w:p>
      <w:pPr>
        <w:pStyle w:val="Normal"/>
        <w:rPr>
          <w:sz w:val="32"/>
        </w:rPr>
      </w:pPr>
      <w:r>
        <w:rPr/>
        <w:t>November 12, 2001</w:t>
      </w:r>
    </w:p>
    <w:p>
      <w:pPr>
        <w:pStyle w:val="Normal"/>
        <w:jc w:val="center"/>
        <w:rPr>
          <w:b/>
          <w:sz w:val="28"/>
        </w:rPr>
      </w:pPr>
      <w:r>
        <w:rPr>
          <w:b/>
          <w:sz w:val="28"/>
        </w:rPr>
      </w:r>
    </w:p>
    <w:p>
      <w:pPr>
        <w:pStyle w:val="Normal"/>
        <w:jc w:val="center"/>
        <w:rPr>
          <w:b/>
          <w:sz w:val="26"/>
        </w:rPr>
      </w:pPr>
      <w:r>
        <w:rPr>
          <w:b/>
          <w:sz w:val="26"/>
        </w:rPr>
        <w:t>CITIZENS, BUSINESS ORGANIZATIONS, ENERGY SERVICE PROVIDERS BEGIN HIGH COURT CHALLENGE TO REINSTATE DIRECT ACCESS</w:t>
      </w:r>
    </w:p>
    <w:p>
      <w:pPr>
        <w:pStyle w:val="Normal"/>
        <w:jc w:val="center"/>
        <w:rPr>
          <w:b/>
          <w:i/>
          <w:i/>
          <w:sz w:val="28"/>
        </w:rPr>
      </w:pPr>
      <w:r>
        <w:rPr>
          <w:b/>
          <w:i/>
          <w:sz w:val="26"/>
        </w:rPr>
        <w:t>Energy Coalition Files Petition for Review with State Supreme Court</w:t>
      </w:r>
    </w:p>
    <w:p>
      <w:pPr>
        <w:pStyle w:val="Normal"/>
        <w:jc w:val="center"/>
        <w:rPr>
          <w:b/>
          <w:i/>
          <w:i/>
          <w:sz w:val="28"/>
        </w:rPr>
      </w:pPr>
      <w:r>
        <w:rPr>
          <w:b/>
          <w:i/>
          <w:sz w:val="28"/>
        </w:rPr>
      </w:r>
    </w:p>
    <w:p>
      <w:pPr>
        <w:pStyle w:val="Normal"/>
        <w:rPr/>
      </w:pPr>
      <w:r>
        <w:rPr>
          <w:b/>
        </w:rPr>
        <w:t>Sacramento, CA</w:t>
      </w:r>
      <w:r>
        <w:rPr/>
        <w:t xml:space="preserve"> – One month after the CPUC denied their Application for Rehearing, a group of concerned citizens, business organizations and energy service providers Friday made good on their promise to take legal action against the CPUC for its September 20 decision suspending direct access. The Alliance for Retail Energy Markets (AReM) and other interested parties filed a Petition for Writ Review with the California Supreme Court citing that the CPUC did not follow due process when it suspended direct access, and has no right to abrogate contracts retroactively, as it has threatened.</w:t>
      </w:r>
    </w:p>
    <w:p>
      <w:pPr>
        <w:pStyle w:val="Normal"/>
        <w:rPr/>
      </w:pPr>
      <w:r>
        <w:rPr/>
      </w:r>
    </w:p>
    <w:p>
      <w:pPr>
        <w:pStyle w:val="Normal"/>
        <w:rPr/>
      </w:pPr>
      <w:r>
        <w:rPr/>
        <w:t>AReM’s Petition for Writ Review is the second required step of an appeal process outlined in the statute enacted by the Legislature to govern the direct access decision. The petition cites the following reasons why relief through Supreme Court action is warranted:</w:t>
      </w:r>
    </w:p>
    <w:p>
      <w:pPr>
        <w:pStyle w:val="Normal"/>
        <w:rPr/>
      </w:pPr>
      <w:r>
        <w:rPr/>
      </w:r>
    </w:p>
    <w:p>
      <w:pPr>
        <w:pStyle w:val="Normal"/>
        <w:numPr>
          <w:ilvl w:val="0"/>
          <w:numId w:val="2"/>
        </w:numPr>
        <w:tabs>
          <w:tab w:val="left" w:pos="720" w:leader="none"/>
        </w:tabs>
        <w:ind w:hanging="360" w:start="720" w:end="720"/>
        <w:rPr/>
      </w:pPr>
      <w:r>
        <w:rPr/>
        <w:t>The CPUC refused to allow hearings, thereby denying fundamental due process guaranteed by the U.S. Constitution and the California Constitution;</w:t>
      </w:r>
    </w:p>
    <w:p>
      <w:pPr>
        <w:pStyle w:val="Body"/>
        <w:numPr>
          <w:ilvl w:val="0"/>
          <w:numId w:val="3"/>
        </w:numPr>
        <w:spacing w:lineRule="auto" w:line="240"/>
        <w:ind w:hanging="360" w:start="720" w:end="1440"/>
        <w:rPr>
          <w:rFonts w:ascii="Times New Roman" w:hAnsi="Times New Roman" w:cs="Times New Roman"/>
        </w:rPr>
      </w:pPr>
      <w:r>
        <w:rPr>
          <w:rFonts w:cs="Times New Roman" w:ascii="Times New Roman" w:hAnsi="Times New Roman"/>
        </w:rPr>
        <w:t>The CPUC’s Direct Access Decision impermissibly interferes with the commerce clause in the U.S. Constitution;</w:t>
      </w:r>
    </w:p>
    <w:p>
      <w:pPr>
        <w:pStyle w:val="Body"/>
        <w:numPr>
          <w:ilvl w:val="0"/>
          <w:numId w:val="3"/>
        </w:numPr>
        <w:spacing w:lineRule="auto" w:line="240"/>
        <w:ind w:hanging="360" w:start="720" w:end="1440"/>
        <w:rPr>
          <w:rFonts w:ascii="Times New Roman" w:hAnsi="Times New Roman" w:cs="Times New Roman"/>
        </w:rPr>
      </w:pPr>
      <w:r>
        <w:rPr>
          <w:rFonts w:cs="Times New Roman" w:ascii="Times New Roman" w:hAnsi="Times New Roman"/>
        </w:rPr>
        <w:t>The CPUC acted in excess of its powers, contrary to the law, and abused its discretion by refusing to conduct hearings and deciding it had a mandatory duty to suspend direct access, and;</w:t>
      </w:r>
    </w:p>
    <w:p>
      <w:pPr>
        <w:pStyle w:val="Body"/>
        <w:numPr>
          <w:ilvl w:val="0"/>
          <w:numId w:val="3"/>
        </w:numPr>
        <w:spacing w:lineRule="auto" w:line="240"/>
        <w:ind w:hanging="360" w:start="720" w:end="1440"/>
        <w:rPr/>
      </w:pPr>
      <w:r>
        <w:rPr>
          <w:rFonts w:cs="Times New Roman" w:ascii="Times New Roman" w:hAnsi="Times New Roman"/>
        </w:rPr>
        <w:t>The CPUC’s findings of fact are not supported by substantial evidence.</w:t>
      </w:r>
    </w:p>
    <w:p>
      <w:pPr>
        <w:pStyle w:val="Body"/>
        <w:spacing w:lineRule="auto" w:line="240"/>
        <w:ind w:hanging="0" w:end="1440"/>
        <w:rPr>
          <w:rFonts w:ascii="Times New Roman" w:hAnsi="Times New Roman" w:cs="Times New Roman"/>
        </w:rPr>
      </w:pPr>
      <w:r>
        <w:rPr>
          <w:rFonts w:cs="Times New Roman" w:ascii="Times New Roman" w:hAnsi="Times New Roman"/>
        </w:rPr>
      </w:r>
    </w:p>
    <w:p>
      <w:pPr>
        <w:pStyle w:val="Body"/>
        <w:spacing w:lineRule="auto" w:line="240"/>
        <w:ind w:hanging="0" w:end="0"/>
        <w:rPr>
          <w:rFonts w:ascii="Times New Roman" w:hAnsi="Times New Roman" w:cs="Times New Roman"/>
        </w:rPr>
      </w:pPr>
      <w:r>
        <w:rPr>
          <w:rFonts w:cs="Times New Roman" w:ascii="Times New Roman" w:hAnsi="Times New Roman"/>
        </w:rPr>
        <w:t>In addition, the petition states that unlike most proceedings, petitioners do not have a right to appeal or seek redress in a lower court. For that reason, the Supreme Court is the only available option for overturning the decision. By submitting this petition, the group hopes the Court will issue an alternative writ annulling the decision and directing the CPUC to set aside and vacate their September 20 decision.</w:t>
      </w:r>
    </w:p>
    <w:p>
      <w:pPr>
        <w:pStyle w:val="Body"/>
        <w:spacing w:lineRule="auto" w:line="240"/>
        <w:ind w:hanging="0" w:end="1440"/>
        <w:rPr>
          <w:rFonts w:ascii="Times New Roman" w:hAnsi="Times New Roman" w:cs="Times New Roman"/>
        </w:rPr>
      </w:pPr>
      <w:r>
        <w:rPr>
          <w:rFonts w:cs="Times New Roman" w:ascii="Times New Roman" w:hAnsi="Times New Roman"/>
        </w:rPr>
      </w:r>
    </w:p>
    <w:p>
      <w:pPr>
        <w:pStyle w:val="BodyText"/>
        <w:spacing w:before="0" w:after="0"/>
        <w:rPr>
          <w:sz w:val="24"/>
        </w:rPr>
      </w:pPr>
      <w:r>
        <w:rPr>
          <w:sz w:val="24"/>
        </w:rPr>
        <w:t xml:space="preserve"> “</w:t>
      </w:r>
      <w:r>
        <w:rPr>
          <w:sz w:val="24"/>
        </w:rPr>
        <w:t>It is our hope that the Supreme Court recognizes the CPUC has acted in complete disregard of our constitutional rights and has rushed judgment on this issue, without hearings and without creating a proper evidentiary record,” said AReM attorney Dan Douglass.  “AReM is willing to take whatever legal steps are necessary to ensure that direct access at least gets a fair trial.”</w:t>
      </w:r>
    </w:p>
    <w:p>
      <w:pPr>
        <w:pStyle w:val="Body"/>
        <w:spacing w:lineRule="auto" w:line="240"/>
        <w:ind w:hanging="0" w:end="1440"/>
        <w:rPr>
          <w:rFonts w:ascii="Times New Roman" w:hAnsi="Times New Roman" w:cs="Times New Roman"/>
          <w:sz w:val="24"/>
        </w:rPr>
      </w:pPr>
      <w:r>
        <w:rPr>
          <w:rFonts w:cs="Times New Roman" w:ascii="Times New Roman" w:hAnsi="Times New Roman"/>
          <w:sz w:val="24"/>
        </w:rPr>
      </w:r>
    </w:p>
    <w:p>
      <w:pPr>
        <w:pStyle w:val="Body"/>
        <w:spacing w:lineRule="auto" w:line="240"/>
        <w:ind w:hanging="0" w:end="360"/>
        <w:rPr>
          <w:rFonts w:ascii="Times New Roman" w:hAnsi="Times New Roman" w:cs="Times New Roman"/>
        </w:rPr>
      </w:pPr>
      <w:r>
        <w:rPr>
          <w:rFonts w:cs="Times New Roman" w:ascii="Times New Roman" w:hAnsi="Times New Roman"/>
        </w:rPr>
        <w:t>The following organizations and businesses signed the Petition for Writ Review:  American Utility Network, The Alliance for Retail Energy Markets, California League of Food Processors, Western Power Trading Forum, Strategic Energy, L.L.C., AB&amp;I Foundry, Tricon Global Restaurants, and School Project for Utility Rate Reduction.</w:t>
      </w:r>
    </w:p>
    <w:sectPr>
      <w:footerReference w:type="default" r:id="rId4"/>
      <w:type w:val="nextPage"/>
      <w:pgSz w:w="12240" w:h="15840"/>
      <w:pgMar w:left="1440" w:right="1440" w:gutter="0" w:header="0" w:top="1440" w:footer="62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verflowPunct w:val="false"/>
      <w:autoSpaceDE w:val="false"/>
      <w:textAlignment w:val="baseline"/>
      <w:outlineLvl w:val="0"/>
    </w:pPr>
    <w:rPr>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00" w:after="10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overflowPunct w:val="false"/>
      <w:autoSpaceDE w:val="false"/>
      <w:spacing w:lineRule="auto" w:line="360"/>
      <w:ind w:firstLine="720" w:start="0" w:end="-187"/>
      <w:textAlignment w:val="baseline"/>
    </w:pPr>
    <w:rPr>
      <w:rFonts w:ascii="Courier New" w:hAnsi="Courier New" w:cs="Courier New"/>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2001-11-12T15:23:00Z</dcterms:created>
  <dc:creator>emanuel</dc:creator>
  <dc:description/>
  <dc:language>en-CA</dc:language>
  <cp:lastModifiedBy>tfairchi</cp:lastModifiedBy>
  <cp:lastPrinted>2001-11-12T09:47:00Z</cp:lastPrinted>
  <dcterms:modified xsi:type="dcterms:W3CDTF">2001-11-12T15:23:00Z</dcterms:modified>
  <cp:revision>2</cp:revision>
  <dc:subject/>
  <dc:title/>
</cp:coreProperties>
</file>