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endnotes.xml" ContentType="application/vnd.openxmlformats-officedocument.wordprocessingml.end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4680" w:leader="none"/>
        </w:tabs>
        <w:rPr>
          <w:rFonts w:ascii="Tahoma" w:hAnsi="Tahoma" w:cs="Tahoma"/>
          <w:lang w:val="en-CA"/>
        </w:rPr>
      </w:pPr>
      <w:r>
        <w:rPr>
          <w:rFonts w:cs="Tahoma" w:ascii="Tahoma" w:hAnsi="Tahoma"/>
          <w:lang w:val="en-CA"/>
        </w:rPr>
        <w:drawing>
          <wp:anchor behindDoc="0" distT="0" distB="0" distL="114935" distR="114935" simplePos="0" locked="0" layoutInCell="0" allowOverlap="1" relativeHeight="5">
            <wp:simplePos x="0" y="0"/>
            <wp:positionH relativeFrom="column">
              <wp:posOffset>-182880</wp:posOffset>
            </wp:positionH>
            <wp:positionV relativeFrom="paragraph">
              <wp:posOffset>-548640</wp:posOffset>
            </wp:positionV>
            <wp:extent cx="1371600" cy="1099185"/>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1" t="-13" r="-11" b="-13"/>
                    <a:stretch>
                      <a:fillRect/>
                    </a:stretch>
                  </pic:blipFill>
                  <pic:spPr bwMode="auto">
                    <a:xfrm>
                      <a:off x="0" y="0"/>
                      <a:ext cx="1371600" cy="1099185"/>
                    </a:xfrm>
                    <a:prstGeom prst="rect">
                      <a:avLst/>
                    </a:prstGeom>
                    <a:noFill/>
                  </pic:spPr>
                </pic:pic>
              </a:graphicData>
            </a:graphic>
          </wp:anchor>
        </w:drawing>
      </w:r>
    </w:p>
    <w:p>
      <w:pPr>
        <w:pStyle w:val="BodyText"/>
        <w:rPr>
          <w:smallCaps/>
          <w:sz w:val="36"/>
        </w:rPr>
      </w:pPr>
      <w:r>
        <w:rPr>
          <w:smallCaps/>
          <w:sz w:val="36"/>
        </w:rPr>
        <w:t xml:space="preserve">Frequently Asked Questions </w:t>
      </w:r>
    </w:p>
    <w:p>
      <w:pPr>
        <w:pStyle w:val="Normal"/>
        <w:rPr>
          <w:rFonts w:ascii="Tahoma" w:hAnsi="Tahoma" w:cs="Tahoma"/>
          <w:smallCaps/>
          <w:sz w:val="36"/>
        </w:rPr>
      </w:pPr>
      <w:r>
        <w:rPr>
          <w:rFonts w:cs="Tahoma" w:ascii="Tahoma" w:hAnsi="Tahoma"/>
          <w:smallCaps/>
          <w:sz w:val="36"/>
        </w:rPr>
      </w:r>
    </w:p>
    <w:p>
      <w:pPr>
        <w:pStyle w:val="Normal"/>
        <w:rPr>
          <w:rFonts w:ascii="Tahoma" w:hAnsi="Tahoma" w:cs="Tahoma"/>
          <w:b/>
        </w:rPr>
      </w:pPr>
      <w:r>
        <w:rPr>
          <w:rFonts w:cs="Tahoma" w:ascii="Tahoma" w:hAnsi="Tahoma"/>
          <w:b/>
        </w:rPr>
        <w:t>What is an Energy Service Provider (also called an Alternate Service Provider)?</w:t>
      </w:r>
    </w:p>
    <w:p>
      <w:pPr>
        <w:pStyle w:val="Normal"/>
        <w:rPr>
          <w:rFonts w:ascii="Tahoma" w:hAnsi="Tahoma" w:cs="Tahoma"/>
          <w:b/>
        </w:rPr>
      </w:pPr>
      <w:r>
        <w:rPr>
          <w:rFonts w:cs="Tahoma" w:ascii="Tahoma" w:hAnsi="Tahoma"/>
          <w:b/>
        </w:rPr>
      </w:r>
    </w:p>
    <w:p>
      <w:pPr>
        <w:pStyle w:val="Normal"/>
        <w:rPr>
          <w:rFonts w:ascii="Tahoma" w:hAnsi="Tahoma" w:cs="Tahoma"/>
        </w:rPr>
      </w:pPr>
      <w:r>
        <w:rPr>
          <w:rFonts w:cs="Tahoma" w:ascii="Tahoma" w:hAnsi="Tahoma"/>
        </w:rPr>
        <w:t xml:space="preserve">Energy Service Providers (ESPs) provide the same commodity and service that utilities traditionally provide – namely, electricity – which they buy in bulk on the wholesale market in order to meet the energy demand of their customers. They also provide billing and customer service functions.  Some ESPs choose to provide high-tech metering services as well.  Alternate service providers tend to have greater flexibility than utilities in the products they offer consumers, with the ability to provide creative price and billing options, service innovations and supply alternatives such as “green power.” When small consumers sign up with an ESP, they leave their local utility and generally enter into an open contract with their new provider. The process is often very similar to choosing a long distance telephone service provider, where the customer has no signed contract and can leave any time.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b/>
        </w:rPr>
        <w:t>How do customers receive service from an ESP rather than a traditional utility?</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There are two ways an ESP can serve consumers: by direct choice (often referred to as “direct access” in California) or default service. With direct choice, the consumer contacts the ESP of their choice directly and chooses an energy contract or product that meets their specific needs. For example, some customers may choose a contract with a fixed monthly price, while others may choose a product indexed to the local utility rates with extra monthly fee for “green energy.”</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 xml:space="preserve">In the case of default service, incumbent utilities auction off blocks of accounts through a competitive bidding process. (This has been accomplished successfully in other states, such as Pennsylvania.) The ESP that wins the bid is then responsible for securing the electricity required to serve their new block of customers at the final bidding price. </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In either case, the incumbent utility remains responsible for delivering energy to the ESP’s customers over the utility’s transmission and distribution lines. This is what utilities do best: provide consumers with safe and reliable transmission and distribution services.</w:t>
      </w:r>
    </w:p>
    <w:p>
      <w:pPr>
        <w:pStyle w:val="Normal"/>
        <w:rPr>
          <w:rFonts w:ascii="Tahoma" w:hAnsi="Tahoma" w:cs="Tahoma"/>
        </w:rPr>
      </w:pPr>
      <w:r>
        <w:rPr>
          <w:rFonts w:cs="Tahoma" w:ascii="Tahoma" w:hAnsi="Tahoma"/>
        </w:rPr>
      </w:r>
    </w:p>
    <w:p>
      <w:pPr>
        <w:pStyle w:val="Normal"/>
        <w:rPr>
          <w:rFonts w:ascii="Tahoma" w:hAnsi="Tahoma" w:cs="Tahoma"/>
          <w:b/>
        </w:rPr>
      </w:pPr>
      <w:r>
        <w:rPr>
          <w:rFonts w:cs="Tahoma" w:ascii="Tahoma" w:hAnsi="Tahoma"/>
          <w:b/>
        </w:rPr>
        <w:t>What is AReM?</w:t>
      </w:r>
    </w:p>
    <w:p>
      <w:pPr>
        <w:pStyle w:val="Normal"/>
        <w:rPr>
          <w:rFonts w:ascii="Tahoma" w:hAnsi="Tahoma" w:cs="Tahoma"/>
          <w:b/>
        </w:rPr>
      </w:pPr>
      <w:r>
        <w:rPr>
          <w:rFonts w:cs="Tahoma" w:ascii="Tahoma" w:hAnsi="Tahoma"/>
          <w:b/>
        </w:rPr>
      </w:r>
    </w:p>
    <w:p>
      <w:pPr>
        <w:pStyle w:val="BodyText"/>
        <w:jc w:val="start"/>
        <w:rPr>
          <w:b w:val="false"/>
        </w:rPr>
      </w:pPr>
      <w:r>
        <w:rPr>
          <w:b w:val="false"/>
        </w:rPr>
        <w:t>Alliance for Retail Energy Markets (AReM) is a coalition whose member companies serve nearly all of the 187,000 California customers who have chosen an energy service provider instead of their traditional utility provider. The coalition’s goal is to foster a more robust and competitive California retail energy market. AReM members include AES NewEnergy, Inc., Axon FieldSolutions, Commonwealth Energy Corp., Enron Energy Services, Inc., GreenMountain Energy Company, The New Power Company, Shell Energy Services, and Strategic Energy, L.L.C.</w:t>
      </w:r>
    </w:p>
    <w:p>
      <w:pPr>
        <w:pStyle w:val="Normal"/>
        <w:rPr>
          <w:rFonts w:ascii="Tahoma" w:hAnsi="Tahoma" w:cs="Tahoma"/>
          <w:b/>
        </w:rPr>
      </w:pPr>
      <w:r>
        <w:rPr>
          <w:rFonts w:cs="Tahoma" w:ascii="Tahoma" w:hAnsi="Tahoma"/>
          <w:b/>
        </w:rPr>
      </w:r>
    </w:p>
    <w:p>
      <w:pPr>
        <w:pStyle w:val="Normal"/>
        <w:rPr>
          <w:rFonts w:ascii="Tahoma" w:hAnsi="Tahoma" w:cs="Tahoma"/>
        </w:rPr>
      </w:pPr>
      <w:r>
        <w:rPr>
          <w:rFonts w:cs="Tahoma" w:ascii="Tahoma" w:hAnsi="Tahoma"/>
        </w:rPr>
      </w:r>
    </w:p>
    <w:p>
      <w:pPr>
        <w:pStyle w:val="Normal"/>
        <w:rPr>
          <w:rFonts w:ascii="Tahoma" w:hAnsi="Tahoma" w:cs="Tahoma"/>
          <w:b/>
        </w:rPr>
      </w:pPr>
      <w:r>
        <w:rPr>
          <w:rFonts w:cs="Tahoma" w:ascii="Tahoma" w:hAnsi="Tahoma"/>
          <w:b/>
        </w:rPr>
        <w:t>What is a healthy retail market?  How do healthy retail markets protect consumers?</w:t>
      </w:r>
    </w:p>
    <w:p>
      <w:pPr>
        <w:pStyle w:val="Normal"/>
        <w:rPr>
          <w:rFonts w:ascii="Tahoma" w:hAnsi="Tahoma" w:cs="Tahoma"/>
          <w:b/>
        </w:rPr>
      </w:pPr>
      <w:r>
        <w:rPr>
          <w:rFonts w:cs="Tahoma" w:ascii="Tahoma" w:hAnsi="Tahoma"/>
          <w:b/>
        </w:rPr>
      </w:r>
    </w:p>
    <w:p>
      <w:pPr>
        <w:pStyle w:val="Normal"/>
        <w:rPr/>
      </w:pPr>
      <w:r>
        <w:rPr>
          <w:rFonts w:cs="Tahoma" w:ascii="Tahoma" w:hAnsi="Tahoma"/>
        </w:rPr>
        <w:t>In a  healthy retail market, multiple providers offer consumers a variety of products at difference prices.  With competition working in the market, consumers can easily exercise their right to choose an alternative service provider that offers them flexible service and pricing options.  In a healthy retail energy market, this means that consumers don’t have to be held hostage by their incumbent utilities. The US Department of Energy has projected that full retail competition will save American consumers about $20 billion a year, which equates to an average of $232 in annual energy savings for a family of four.</w:t>
      </w:r>
      <w:r>
        <w:rPr>
          <w:rStyle w:val="EndnoteCharacters"/>
          <w:rStyle w:val="EndnoteReference"/>
          <w:rFonts w:cs="Tahoma" w:ascii="Tahoma" w:hAnsi="Tahoma"/>
        </w:rPr>
        <w:endnoteReference w:id="2"/>
      </w:r>
      <w:r>
        <w:rPr>
          <w:rFonts w:cs="Tahoma" w:ascii="Tahoma" w:hAnsi="Tahoma"/>
        </w:rPr>
        <w:t xml:space="preserve"> Competitive retail markets put electricity choice and innovative service options in the hands of the consumer. The San Diego area electric consumers who switched to fixed-price contracts with alternate service providers before the energy price spikes occurred last summer are an obvious example of how retail markets can benefit consumers. These San Diego energy customers were protected by their fixed rate contracts – and still are.</w:t>
      </w:r>
    </w:p>
    <w:p>
      <w:pPr>
        <w:pStyle w:val="Normal"/>
        <w:rPr>
          <w:rFonts w:ascii="Tahoma" w:hAnsi="Tahoma" w:cs="Tahoma"/>
        </w:rPr>
      </w:pPr>
      <w:r>
        <w:rPr>
          <w:rFonts w:cs="Tahoma" w:ascii="Tahoma" w:hAnsi="Tahoma"/>
        </w:rPr>
      </w:r>
    </w:p>
    <w:p>
      <w:pPr>
        <w:pStyle w:val="Normal"/>
        <w:rPr>
          <w:rFonts w:ascii="Tahoma" w:hAnsi="Tahoma" w:cs="Tahoma"/>
          <w:b/>
        </w:rPr>
      </w:pPr>
      <w:r>
        <w:rPr>
          <w:rFonts w:cs="Tahoma" w:ascii="Tahoma" w:hAnsi="Tahoma"/>
          <w:b/>
        </w:rPr>
        <w:t>Why is California experiencing an energy crisis now?</w:t>
      </w:r>
    </w:p>
    <w:p>
      <w:pPr>
        <w:pStyle w:val="Normal"/>
        <w:rPr>
          <w:rFonts w:ascii="Tahoma" w:hAnsi="Tahoma" w:cs="Tahoma"/>
          <w:b/>
        </w:rPr>
      </w:pPr>
      <w:r>
        <w:rPr>
          <w:rFonts w:cs="Tahoma" w:ascii="Tahoma" w:hAnsi="Tahoma"/>
          <w:b/>
        </w:rPr>
      </w:r>
    </w:p>
    <w:p>
      <w:pPr>
        <w:pStyle w:val="Normal"/>
        <w:rPr>
          <w:rFonts w:ascii="Tahoma" w:hAnsi="Tahoma" w:cs="Tahoma"/>
        </w:rPr>
      </w:pPr>
      <w:r>
        <w:rPr>
          <w:rFonts w:cs="Tahoma" w:ascii="Tahoma" w:hAnsi="Tahoma"/>
        </w:rPr>
        <w:t xml:space="preserve">The fundamental underlying reason for California’s energy crisis is that wholesale supply is not aligned with demand. Demand has grown 25 percent over the last four years, while supply has increased only six percent. In addition, the poor design of California’s wholesale market structure and an over-reliance on spot market purchases by the utilities have made these underlying problems worse.  </w:t>
      </w:r>
    </w:p>
    <w:p>
      <w:pPr>
        <w:pStyle w:val="Normal"/>
        <w:rPr>
          <w:rFonts w:ascii="Tahoma" w:hAnsi="Tahoma" w:cs="Tahoma"/>
        </w:rPr>
      </w:pPr>
      <w:r>
        <w:rPr>
          <w:rFonts w:cs="Tahoma" w:ascii="Tahoma" w:hAnsi="Tahoma"/>
        </w:rPr>
      </w:r>
    </w:p>
    <w:p>
      <w:pPr>
        <w:pStyle w:val="BodyText2"/>
        <w:rPr/>
      </w:pPr>
      <w:r>
        <w:rPr/>
        <w:t>Why didn’t California plan for retail energy markets when it restructured the wholesale energy markets?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t>When California restructured its electricity markets in 1996, it only opted for partial deregulation. California neglected to address the development of healthy, competitive retail markets, believing that retail markets would spontaneously develop with competition in the wholesale market. Meanwhile, the state’s wholesale energy markets are not yet workably competitive and some consumers have been subject to rate increases and energy shortages that accompany any non-competitive price structure. A stronger retail energy market is a key part of solving California’s existing energy problems and could help avert a similar crisis in the future.</w:t>
      </w:r>
    </w:p>
    <w:p>
      <w:pPr>
        <w:pStyle w:val="Normal"/>
        <w:rPr>
          <w:rFonts w:ascii="Tahoma" w:hAnsi="Tahoma" w:cs="Tahoma"/>
        </w:rPr>
      </w:pPr>
      <w:r>
        <w:rPr>
          <w:rFonts w:cs="Tahoma" w:ascii="Tahoma" w:hAnsi="Tahoma"/>
        </w:rPr>
      </w:r>
    </w:p>
    <w:p>
      <w:pPr>
        <w:pStyle w:val="Normal"/>
        <w:rPr>
          <w:rFonts w:ascii="Tahoma" w:hAnsi="Tahoma" w:cs="Tahoma"/>
          <w:b/>
        </w:rPr>
      </w:pPr>
      <w:r>
        <w:rPr>
          <w:rFonts w:cs="Tahoma" w:ascii="Tahoma" w:hAnsi="Tahoma"/>
          <w:b/>
        </w:rPr>
        <w:t>Why are open markets better than regulation?</w:t>
      </w:r>
    </w:p>
    <w:p>
      <w:pPr>
        <w:pStyle w:val="Normal"/>
        <w:rPr>
          <w:rFonts w:ascii="Tahoma" w:hAnsi="Tahoma" w:cs="Tahoma"/>
          <w:b/>
        </w:rPr>
      </w:pPr>
      <w:r>
        <w:rPr>
          <w:rFonts w:cs="Tahoma" w:ascii="Tahoma" w:hAnsi="Tahoma"/>
          <w:b/>
        </w:rPr>
      </w:r>
    </w:p>
    <w:p>
      <w:pPr>
        <w:pStyle w:val="Normal"/>
        <w:rPr>
          <w:rFonts w:ascii="Tahoma" w:hAnsi="Tahoma" w:cs="Tahoma"/>
        </w:rPr>
      </w:pPr>
      <w:r>
        <w:rPr>
          <w:rFonts w:cs="Tahoma" w:ascii="Tahoma" w:hAnsi="Tahoma"/>
        </w:rPr>
        <w:t>Open markets harness the power of competition to bring lower prices and new products.  Deregulation is the process of introducing competition into a previously regulated market. When markets become workably competitive, market entrants compete for customers and competition among providers has the effect of stabilizing, and often lowering, prices. Competition also tends to foster industry and product innovation as competitors attempt to carve out a successful niche for their companies.</w:t>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b/>
        </w:rPr>
      </w:pPr>
      <w:r>
        <w:rPr>
          <w:rFonts w:cs="Tahoma" w:ascii="Tahoma" w:hAnsi="Tahoma"/>
          <w:b/>
        </w:rPr>
        <w:t>Why aren’t California’s retail energy markets competitive?</w:t>
      </w:r>
    </w:p>
    <w:p>
      <w:pPr>
        <w:pStyle w:val="Normal"/>
        <w:rPr>
          <w:rFonts w:ascii="Tahoma" w:hAnsi="Tahoma" w:cs="Tahoma"/>
          <w:b/>
        </w:rPr>
      </w:pPr>
      <w:r>
        <w:rPr>
          <w:rFonts w:cs="Tahoma" w:ascii="Tahoma" w:hAnsi="Tahoma"/>
          <w:b/>
        </w:rPr>
      </w:r>
    </w:p>
    <w:p>
      <w:pPr>
        <w:pStyle w:val="Normal"/>
        <w:rPr>
          <w:rFonts w:ascii="Tahoma" w:hAnsi="Tahoma" w:cs="Tahoma"/>
        </w:rPr>
      </w:pPr>
      <w:r>
        <w:rPr>
          <w:rFonts w:cs="Tahoma" w:ascii="Tahoma" w:hAnsi="Tahoma"/>
        </w:rPr>
        <w:t>California’s retail energy markets aren’t competitive because the deregulation process has largely been focused on the wholesale level. To date, policy makers have not addressed the retail market power of the incumbent utilities thus stunting the development of the retail market. Because of poor market design and regulations approved by the Public Utilities Commission, it has been difficult for ESPs to enter into and compete in the California retail market. Today’s retail market rules provide great advantages to incumbent utilities and create significant barriers to entry for any additional providers, thereby stunting retail competition.</w:t>
      </w:r>
    </w:p>
    <w:p>
      <w:pPr>
        <w:pStyle w:val="Normal"/>
        <w:rPr>
          <w:rFonts w:ascii="Tahoma" w:hAnsi="Tahoma" w:cs="Tahoma"/>
        </w:rPr>
      </w:pPr>
      <w:r>
        <w:rPr>
          <w:rFonts w:cs="Tahoma" w:ascii="Tahoma" w:hAnsi="Tahoma"/>
        </w:rPr>
      </w:r>
    </w:p>
    <w:p>
      <w:pPr>
        <w:pStyle w:val="Normal"/>
        <w:rPr>
          <w:rFonts w:ascii="Tahoma" w:hAnsi="Tahoma" w:cs="Tahoma"/>
          <w:b/>
        </w:rPr>
      </w:pPr>
      <w:r>
        <w:rPr>
          <w:rFonts w:cs="Tahoma" w:ascii="Tahoma" w:hAnsi="Tahoma"/>
          <w:b/>
        </w:rPr>
        <w:t>What can be done to increase competition in California’s retail energy markets?</w:t>
      </w:r>
    </w:p>
    <w:p>
      <w:pPr>
        <w:pStyle w:val="Normal"/>
        <w:rPr>
          <w:rFonts w:ascii="Tahoma" w:hAnsi="Tahoma" w:cs="Tahoma"/>
          <w:b/>
        </w:rPr>
      </w:pPr>
      <w:r>
        <w:rPr>
          <w:rFonts w:cs="Tahoma" w:ascii="Tahoma" w:hAnsi="Tahoma"/>
          <w:b/>
        </w:rPr>
      </w:r>
    </w:p>
    <w:p>
      <w:pPr>
        <w:pStyle w:val="Normal"/>
        <w:rPr/>
      </w:pPr>
      <w:r>
        <w:rPr>
          <w:rFonts w:cs="Tahoma" w:ascii="Tahoma" w:hAnsi="Tahoma"/>
        </w:rPr>
        <w:t>Energy service providers can help solve California’s energy crisis both by providing energy options to California consumers and minimizing risk for investor-owned utilities (IOUs). The AReM coalition has produced a four-point market proposal (</w:t>
      </w:r>
      <w:r>
        <w:rPr>
          <w:rFonts w:cs="Tahoma" w:ascii="Tahoma" w:hAnsi="Tahoma"/>
          <w:i/>
        </w:rPr>
        <w:t xml:space="preserve">the whole proposal can be found as a separate document in the information kit) </w:t>
      </w:r>
      <w:r>
        <w:rPr>
          <w:rFonts w:cs="Tahoma" w:ascii="Tahoma" w:hAnsi="Tahoma"/>
        </w:rPr>
        <w:t>to develop California’s competitive retail market while at the same time providing a safe backstop for consumers and lowering the financial risk of the utilities:</w:t>
      </w:r>
    </w:p>
    <w:p>
      <w:pPr>
        <w:pStyle w:val="Normal"/>
        <w:rPr>
          <w:rFonts w:ascii="Tahoma" w:hAnsi="Tahoma" w:cs="Tahoma"/>
          <w:sz w:val="20"/>
        </w:rPr>
      </w:pPr>
      <w:r>
        <w:rPr>
          <w:rFonts w:cs="Tahoma" w:ascii="Tahoma" w:hAnsi="Tahoma"/>
          <w:sz w:val="20"/>
        </w:rPr>
      </w:r>
    </w:p>
    <w:p>
      <w:pPr>
        <w:pStyle w:val="LFHS1Level1"/>
        <w:numPr>
          <w:ilvl w:val="0"/>
          <w:numId w:val="2"/>
        </w:numPr>
        <w:rPr>
          <w:rFonts w:ascii="Tahoma" w:hAnsi="Tahoma" w:cs="Tahoma"/>
          <w:sz w:val="20"/>
        </w:rPr>
      </w:pPr>
      <w:r>
        <w:rPr>
          <w:rFonts w:cs="Tahoma" w:ascii="Tahoma" w:hAnsi="Tahoma"/>
          <w:sz w:val="20"/>
        </w:rPr>
        <w:t>Small customers deserve a known, fixed default electricity price.</w:t>
      </w:r>
    </w:p>
    <w:p>
      <w:pPr>
        <w:pStyle w:val="LFHS1Level1"/>
        <w:numPr>
          <w:ilvl w:val="0"/>
          <w:numId w:val="2"/>
        </w:numPr>
        <w:rPr>
          <w:rFonts w:ascii="Tahoma" w:hAnsi="Tahoma" w:cs="Tahoma"/>
          <w:sz w:val="20"/>
        </w:rPr>
      </w:pPr>
      <w:r>
        <w:rPr>
          <w:rFonts w:cs="Tahoma" w:ascii="Tahoma" w:hAnsi="Tahoma"/>
          <w:sz w:val="20"/>
        </w:rPr>
        <w:t>Large customers should be required to secure their own electricity supply.</w:t>
      </w:r>
    </w:p>
    <w:p>
      <w:pPr>
        <w:pStyle w:val="LFHS1Level1"/>
        <w:numPr>
          <w:ilvl w:val="0"/>
          <w:numId w:val="2"/>
        </w:numPr>
        <w:rPr>
          <w:rFonts w:ascii="Tahoma" w:hAnsi="Tahoma" w:cs="Tahoma"/>
          <w:sz w:val="20"/>
        </w:rPr>
      </w:pPr>
      <w:r>
        <w:rPr>
          <w:rFonts w:cs="Tahoma" w:ascii="Tahoma" w:hAnsi="Tahoma"/>
          <w:sz w:val="20"/>
        </w:rPr>
        <w:t>Default service for small customers should be subjected to competition.</w:t>
      </w:r>
    </w:p>
    <w:p>
      <w:pPr>
        <w:pStyle w:val="LFHS1Level1"/>
        <w:numPr>
          <w:ilvl w:val="0"/>
          <w:numId w:val="2"/>
        </w:numPr>
        <w:rPr>
          <w:rFonts w:ascii="Tahoma" w:hAnsi="Tahoma" w:cs="Tahoma"/>
        </w:rPr>
      </w:pPr>
      <w:r>
        <w:rPr>
          <w:rFonts w:cs="Tahoma" w:ascii="Tahoma" w:hAnsi="Tahoma"/>
          <w:sz w:val="20"/>
        </w:rPr>
        <w:t>Municipal aggregation, with an opt-out provision, should be allowed.</w:t>
      </w:r>
    </w:p>
    <w:p>
      <w:pPr>
        <w:pStyle w:val="Normal"/>
        <w:rPr>
          <w:rFonts w:ascii="Tahoma" w:hAnsi="Tahoma" w:cs="Tahoma"/>
        </w:rPr>
      </w:pPr>
      <w:r>
        <w:rPr>
          <w:rFonts w:cs="Tahoma" w:ascii="Tahoma" w:hAnsi="Tahoma"/>
        </w:rPr>
        <w:t xml:space="preserve">In addition to providing consumers more control over their energy dollars, this approach allows the IOUs to minimize the financial risk associated with purchasing power, and thereby allows them to focus on what they do best—providing safe, reliable transmission and distribution service. AReM’s proposal will allow IOUs to focus on maintaining reliability of their transmission and distribution systems—services that are generally considered to be monopoly services. </w:t>
      </w:r>
    </w:p>
    <w:p>
      <w:pPr>
        <w:pStyle w:val="Header"/>
        <w:tabs>
          <w:tab w:val="clear" w:pos="4320"/>
          <w:tab w:val="clear" w:pos="8640"/>
        </w:tabs>
        <w:rPr>
          <w:rFonts w:ascii="Tahoma" w:hAnsi="Tahoma" w:cs="Tahoma"/>
        </w:rPr>
      </w:pPr>
      <w:r>
        <w:rPr>
          <w:rFonts w:cs="Tahoma" w:ascii="Tahoma" w:hAnsi="Tahoma"/>
        </w:rPr>
      </w:r>
    </w:p>
    <w:p>
      <w:pPr>
        <w:pStyle w:val="Normal"/>
        <w:rPr>
          <w:rFonts w:ascii="Tahoma" w:hAnsi="Tahoma" w:cs="Tahoma"/>
        </w:rPr>
      </w:pPr>
      <w:r>
        <w:rPr>
          <w:rFonts w:cs="Tahoma" w:ascii="Tahoma" w:hAnsi="Tahoma"/>
        </w:rPr>
        <w:t>With IOUs devoting their resources to safe and reliable transmission and distribution services, the public utilities commission (PUC) can establish a competitive bidding process for default service.  Within parameters determined by the PUC, consumers can then rely upon known, fixed prices for a predetermined period of time. This proposition protects both consumers and utilities while simultaneously helping to increase competition in California’s retail energy markets.</w:t>
      </w:r>
    </w:p>
    <w:p>
      <w:pPr>
        <w:pStyle w:val="Normal"/>
        <w:rPr>
          <w:rFonts w:ascii="Tahoma" w:hAnsi="Tahoma" w:cs="Tahoma"/>
        </w:rPr>
      </w:pPr>
      <w:r>
        <w:rPr>
          <w:rFonts w:cs="Tahoma" w:ascii="Tahoma" w:hAnsi="Tahoma"/>
        </w:rPr>
      </w:r>
    </w:p>
    <w:sectPr>
      <w:footerReference w:type="default" r:id="rId3"/>
      <w:endnotePr>
        <w:pos w:val="sectEnd"/>
        <w:numFmt w:val="lowerRoman"/>
      </w:endnotePr>
      <w:type w:val="nextPage"/>
      <w:pgSz w:w="12240" w:h="15840"/>
      <w:pgMar w:left="1152" w:right="1152" w:gutter="0" w:header="0" w:top="1152" w:footer="420" w:bottom="1152"/>
      <w:pgNumType w:fmt="decimal"/>
      <w:formProt w:val="false"/>
      <w:textDirection w:val="lrTb"/>
      <w:docGrid w:type="default" w:linePitch="360"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endnote w:id="0" w:type="separator">
    <w:p>
      <w:r>
        <w:separator/>
      </w:r>
    </w:p>
  </w:endnote>
  <w:endnote w:id="1" w:type="continuationSeparator">
    <w:p>
      <w:r>
        <w:continuationSeparator/>
      </w:r>
    </w:p>
  </w:endnote>
  <w:endnote w:id="2">
    <w:p>
      <w:pPr>
        <w:pStyle w:val="EndnoteText"/>
        <w:rPr/>
      </w:pPr>
      <w:r>
        <w:rPr>
          <w:rStyle w:val="EndnoteCharacters"/>
        </w:rPr>
        <w:endnoteRef/>
      </w:r>
      <w:r>
        <w:rPr/>
        <w:t xml:space="preserve"> </w:t>
      </w:r>
      <w:r>
        <w:rPr>
          <w:rFonts w:cs="Tahoma" w:ascii="Tahoma" w:hAnsi="Tahoma"/>
        </w:rPr>
        <w:t>“</w:t>
      </w:r>
      <w:r>
        <w:rPr>
          <w:rFonts w:cs="Tahoma" w:ascii="Tahoma" w:hAnsi="Tahoma"/>
          <w:i/>
        </w:rPr>
        <w:t>Retail Electric Competition: Getting it Right</w:t>
      </w:r>
      <w:r>
        <w:rPr>
          <w:rFonts w:cs="Tahoma" w:ascii="Tahoma" w:hAnsi="Tahoma"/>
          <w:u w:val="single"/>
        </w:rPr>
        <w:t>,,”</w:t>
      </w:r>
      <w:r>
        <w:rPr>
          <w:rFonts w:cs="Tahoma" w:ascii="Tahoma" w:hAnsi="Tahoma"/>
        </w:rPr>
        <w:t xml:space="preserve"> by the Electric Power Supply Association,  2001 Edition.</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ahoma" w:hAnsi="Tahoma" w:cs="Tahoma"/>
        <w:sz w:val="20"/>
        <w:lang w:eastAsia="en-US"/>
      </w:rPr>
    </w:pPr>
    <w:r>
      <w:rPr>
        <w:rFonts w:cs="Tahoma" w:ascii="Tahoma" w:hAnsi="Tahoma"/>
        <w:sz w:val="20"/>
        <w:lang w:eastAsia="en-US"/>
      </w:rPr>
      <w:t>AReM FAQ</w:t>
    </w:r>
  </w:p>
  <w:p>
    <w:pPr>
      <w:pStyle w:val="Footer"/>
      <w:rPr/>
    </w:pPr>
    <w:r>
      <mc:AlternateContent>
        <mc:Choice Requires="wps">
          <w:drawing>
            <wp:anchor behindDoc="1" distT="0" distB="0" distL="114935" distR="114935" simplePos="0" locked="0" layoutInCell="1" allowOverlap="1" relativeHeight="4">
              <wp:simplePos x="0" y="0"/>
              <wp:positionH relativeFrom="column">
                <wp:posOffset>-91440</wp:posOffset>
              </wp:positionH>
              <wp:positionV relativeFrom="paragraph">
                <wp:posOffset>-220345</wp:posOffset>
              </wp:positionV>
              <wp:extent cx="1920240" cy="0"/>
              <wp:effectExtent l="0" t="5080" r="0" b="5080"/>
              <wp:wrapNone/>
              <wp:docPr id="2" name=""/>
              <a:graphic xmlns:a="http://schemas.openxmlformats.org/drawingml/2006/main">
                <a:graphicData uri="http://schemas.microsoft.com/office/word/2010/wordprocessingShape">
                  <wps:wsp>
                    <wps:cNvSpPr/>
                    <wps:spPr>
                      <a:xfrm>
                        <a:off x="0" y="0"/>
                        <a:ext cx="192024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17.35pt" to="143.95pt,-17.35pt" stroked="t" o:allowincell="f" style="position:absolute">
              <v:stroke color="black" weight="9360" joinstyle="miter" endcap="flat"/>
              <v:fill o:detectmouseclick="t" on="false"/>
              <w10:wrap type="none"/>
            </v:line>
          </w:pict>
        </mc:Fallback>
      </mc:AlternateContent>
    </w:r>
    <w:r>
      <w:rPr>
        <w:rFonts w:cs="Tahoma" w:ascii="Tahoma" w:hAnsi="Tahoma"/>
        <w:sz w:val="20"/>
        <w:lang w:eastAsia="en-US"/>
      </w:rPr>
      <w:t xml:space="preserve">Page </w:t>
    </w:r>
    <w:r>
      <w:rPr>
        <w:rFonts w:cs="Tahoma" w:ascii="Tahoma" w:hAnsi="Tahoma"/>
        <w:sz w:val="20"/>
        <w:lang w:eastAsia="en-US"/>
      </w:rPr>
      <w:fldChar w:fldCharType="begin"/>
    </w:r>
    <w:r>
      <w:rPr>
        <w:sz w:val="20"/>
        <w:rFonts w:cs="Tahoma" w:ascii="Tahoma" w:hAnsi="Tahoma"/>
        <w:lang w:eastAsia="en-US"/>
      </w:rPr>
      <w:instrText xml:space="preserve"> PAGE </w:instrText>
    </w:r>
    <w:r>
      <w:rPr>
        <w:sz w:val="20"/>
        <w:rFonts w:cs="Tahoma" w:ascii="Tahoma" w:hAnsi="Tahoma"/>
        <w:lang w:eastAsia="en-US"/>
      </w:rPr>
      <w:fldChar w:fldCharType="separate"/>
    </w:r>
    <w:r>
      <w:rPr>
        <w:sz w:val="20"/>
        <w:rFonts w:cs="Tahoma" w:ascii="Tahoma" w:hAnsi="Tahoma"/>
        <w:lang w:eastAsia="en-US"/>
      </w:rPr>
      <w:t>3</w:t>
    </w:r>
    <w:r>
      <w:rPr>
        <w:sz w:val="20"/>
        <w:rFonts w:cs="Tahoma" w:ascii="Tahoma" w:hAnsi="Tahoma"/>
        <w:lang w:eastAsia="en-US"/>
      </w:rPr>
      <w:fldChar w:fldCharType="end"/>
    </w:r>
    <w:r>
      <w:rPr>
        <w:rFonts w:cs="Tahoma" w:ascii="Tahoma" w:hAnsi="Tahoma"/>
        <w:sz w:val="20"/>
        <w:lang w:eastAsia="en-US"/>
      </w:rPr>
      <w:t xml:space="preserve"> of 3</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66"/>
  <w:revisionView w:insDel="0" w:formatting="0"/>
  <w:defaultTabStop w:val="720"/>
  <w:autoHyphenation w:val="true"/>
  <w:hyphenationZone w:val="0"/>
  <w:endnotePr>
    <w:pos w:val="sectEnd"/>
    <w:numFmt w:val="lowerRoman"/>
    <w:endnote w:id="0"/>
    <w:endnote w:id="1"/>
  </w:end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rFonts w:ascii="Tahoma" w:hAnsi="Tahoma" w:cs="Tahoma"/>
      <w:b/>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rFonts w:ascii="Tahoma" w:hAnsi="Tahoma" w:cs="Tahoma"/>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rFonts w:ascii="Tahoma" w:hAnsi="Tahoma" w:cs="Tahoma"/>
      <w:b/>
    </w:rPr>
  </w:style>
  <w:style w:type="paragraph" w:styleId="LFHS1Level1">
    <w:name w:val="LFHS1 Level 1"/>
    <w:basedOn w:val="Normal"/>
    <w:next w:val="Normal"/>
    <w:qFormat/>
    <w:pPr>
      <w:spacing w:before="0" w:after="200"/>
      <w:jc w:val="both"/>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rPr>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2001-01-25T07:40:00Z</dcterms:created>
  <dc:creator>edelman</dc:creator>
  <dc:description/>
  <dc:language>en-CA</dc:language>
  <cp:lastModifiedBy>Edelma</cp:lastModifiedBy>
  <cp:lastPrinted>2001-01-22T10:03:00Z</cp:lastPrinted>
  <dcterms:modified xsi:type="dcterms:W3CDTF">2001-01-25T07:40:00Z</dcterms:modified>
  <cp:revision>2</cp:revision>
  <dc:subject/>
  <dc:title>AReM FAQ </dc:title>
</cp:coreProperties>
</file>